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9890F">
      <w:pPr>
        <w:tabs>
          <w:tab w:val="left" w:pos="1339"/>
        </w:tabs>
        <w:jc w:val="center"/>
        <w:rPr>
          <w:rFonts w:ascii="隶书" w:eastAsia="隶书"/>
          <w:b/>
          <w:bCs/>
          <w:spacing w:val="-4"/>
          <w:sz w:val="84"/>
          <w:szCs w:val="84"/>
        </w:rPr>
      </w:pPr>
    </w:p>
    <w:p w14:paraId="1E4D6111">
      <w:pPr>
        <w:tabs>
          <w:tab w:val="left" w:pos="1339"/>
        </w:tabs>
        <w:jc w:val="center"/>
        <w:rPr>
          <w:rFonts w:ascii="隶书" w:eastAsia="隶书"/>
          <w:b/>
          <w:bCs/>
          <w:spacing w:val="-4"/>
          <w:sz w:val="84"/>
          <w:szCs w:val="84"/>
        </w:rPr>
      </w:pPr>
    </w:p>
    <w:p w14:paraId="4438952B">
      <w:pPr>
        <w:tabs>
          <w:tab w:val="left" w:pos="1339"/>
        </w:tabs>
        <w:jc w:val="center"/>
        <w:rPr>
          <w:rFonts w:ascii="隶书" w:eastAsia="隶书"/>
          <w:b/>
          <w:bCs/>
          <w:spacing w:val="-4"/>
          <w:sz w:val="84"/>
          <w:szCs w:val="84"/>
        </w:rPr>
      </w:pPr>
    </w:p>
    <w:p w14:paraId="73CD1768">
      <w:pPr>
        <w:tabs>
          <w:tab w:val="left" w:pos="1339"/>
        </w:tabs>
        <w:jc w:val="center"/>
        <w:rPr>
          <w:rFonts w:ascii="隶书" w:eastAsia="隶书"/>
          <w:b/>
          <w:bCs/>
          <w:spacing w:val="-4"/>
          <w:sz w:val="84"/>
          <w:szCs w:val="84"/>
        </w:rPr>
      </w:pPr>
    </w:p>
    <w:p w14:paraId="1105F620">
      <w:pPr>
        <w:tabs>
          <w:tab w:val="left" w:pos="1339"/>
        </w:tabs>
        <w:jc w:val="center"/>
        <w:rPr>
          <w:rFonts w:hint="eastAsia" w:ascii="方正小标宋简体" w:hAnsi="华文中宋" w:eastAsia="方正小标宋简体"/>
          <w:bCs/>
          <w:spacing w:val="-4"/>
          <w:sz w:val="56"/>
          <w:szCs w:val="72"/>
          <w:lang w:eastAsia="zh-CN"/>
        </w:rPr>
      </w:pPr>
      <w:r>
        <w:rPr>
          <w:rFonts w:hint="eastAsia" w:ascii="方正小标宋简体" w:hAnsi="华文中宋" w:eastAsia="方正小标宋简体"/>
          <w:bCs/>
          <w:spacing w:val="-4"/>
          <w:sz w:val="56"/>
          <w:szCs w:val="72"/>
        </w:rPr>
        <w:t>霍山县</w:t>
      </w:r>
      <w:r>
        <w:rPr>
          <w:rFonts w:hint="eastAsia" w:ascii="方正小标宋简体" w:hAnsi="华文中宋" w:eastAsia="方正小标宋简体"/>
          <w:bCs/>
          <w:spacing w:val="-4"/>
          <w:sz w:val="56"/>
          <w:szCs w:val="72"/>
          <w:lang w:eastAsia="zh-CN"/>
        </w:rPr>
        <w:t>人民检察院</w:t>
      </w:r>
    </w:p>
    <w:p w14:paraId="17CFA478">
      <w:pPr>
        <w:tabs>
          <w:tab w:val="left" w:pos="1339"/>
        </w:tabs>
        <w:jc w:val="center"/>
        <w:rPr>
          <w:rFonts w:ascii="方正小标宋简体" w:hAnsi="华文中宋" w:eastAsia="方正小标宋简体"/>
          <w:bCs/>
          <w:spacing w:val="-4"/>
          <w:sz w:val="56"/>
          <w:szCs w:val="72"/>
        </w:rPr>
      </w:pPr>
      <w:r>
        <w:rPr>
          <w:rFonts w:hint="eastAsia" w:ascii="方正小标宋简体" w:hAnsi="华文中宋" w:eastAsia="方正小标宋简体"/>
          <w:bCs/>
          <w:spacing w:val="-4"/>
          <w:sz w:val="56"/>
          <w:szCs w:val="72"/>
        </w:rPr>
        <w:t>2023年</w:t>
      </w:r>
      <w:r>
        <w:rPr>
          <w:rFonts w:hint="eastAsia" w:ascii="方正小标宋简体" w:hAnsi="华文中宋" w:eastAsia="方正小标宋简体"/>
          <w:bCs/>
          <w:spacing w:val="-4"/>
          <w:sz w:val="56"/>
          <w:szCs w:val="72"/>
          <w:u w:val="none"/>
        </w:rPr>
        <w:t>部门</w:t>
      </w:r>
      <w:r>
        <w:rPr>
          <w:rFonts w:hint="eastAsia" w:ascii="方正小标宋简体" w:hAnsi="华文中宋" w:eastAsia="方正小标宋简体"/>
          <w:bCs/>
          <w:spacing w:val="-4"/>
          <w:sz w:val="56"/>
          <w:szCs w:val="72"/>
        </w:rPr>
        <w:t>预算</w:t>
      </w:r>
    </w:p>
    <w:p w14:paraId="6F4D6E4F">
      <w:pPr>
        <w:tabs>
          <w:tab w:val="left" w:pos="1339"/>
        </w:tabs>
        <w:rPr>
          <w:rFonts w:ascii="黑体" w:eastAsia="黑体"/>
          <w:spacing w:val="-4"/>
          <w:sz w:val="36"/>
        </w:rPr>
      </w:pPr>
    </w:p>
    <w:p w14:paraId="75375D6B">
      <w:pPr>
        <w:tabs>
          <w:tab w:val="left" w:pos="1339"/>
        </w:tabs>
        <w:rPr>
          <w:rFonts w:ascii="黑体" w:eastAsia="黑体"/>
          <w:spacing w:val="-4"/>
          <w:sz w:val="36"/>
        </w:rPr>
      </w:pPr>
    </w:p>
    <w:p w14:paraId="6234CB2A">
      <w:pPr>
        <w:tabs>
          <w:tab w:val="left" w:pos="1339"/>
        </w:tabs>
        <w:rPr>
          <w:rFonts w:ascii="黑体" w:eastAsia="黑体"/>
          <w:spacing w:val="-4"/>
          <w:sz w:val="36"/>
        </w:rPr>
      </w:pPr>
    </w:p>
    <w:p w14:paraId="313DC299">
      <w:pPr>
        <w:tabs>
          <w:tab w:val="left" w:pos="1339"/>
        </w:tabs>
        <w:rPr>
          <w:rFonts w:ascii="黑体" w:eastAsia="黑体"/>
          <w:spacing w:val="-4"/>
          <w:sz w:val="36"/>
        </w:rPr>
      </w:pPr>
    </w:p>
    <w:p w14:paraId="7C5B038C">
      <w:pPr>
        <w:tabs>
          <w:tab w:val="left" w:pos="1339"/>
        </w:tabs>
        <w:rPr>
          <w:rFonts w:ascii="黑体" w:eastAsia="黑体"/>
          <w:spacing w:val="-4"/>
          <w:sz w:val="36"/>
        </w:rPr>
      </w:pPr>
    </w:p>
    <w:p w14:paraId="0564EE5D">
      <w:pPr>
        <w:tabs>
          <w:tab w:val="left" w:pos="1339"/>
        </w:tabs>
        <w:jc w:val="center"/>
        <w:rPr>
          <w:rFonts w:ascii="华文中宋" w:hAnsi="华文中宋" w:eastAsia="华文中宋"/>
          <w:bCs/>
          <w:spacing w:val="-4"/>
          <w:sz w:val="52"/>
          <w:szCs w:val="52"/>
        </w:rPr>
      </w:pPr>
    </w:p>
    <w:p w14:paraId="00F7FE3C">
      <w:pPr>
        <w:rPr>
          <w:rFonts w:ascii="方正小标宋简体" w:hAnsi="仿宋" w:eastAsia="方正小标宋简体"/>
          <w:sz w:val="44"/>
          <w:szCs w:val="44"/>
        </w:rPr>
      </w:pPr>
    </w:p>
    <w:p w14:paraId="52763AA1">
      <w:pPr>
        <w:pStyle w:val="7"/>
        <w:widowControl w:val="0"/>
        <w:adjustRightInd w:val="0"/>
        <w:snapToGrid w:val="0"/>
        <w:spacing w:before="0" w:beforeAutospacing="0" w:after="0" w:afterAutospacing="0" w:line="360" w:lineRule="auto"/>
        <w:jc w:val="both"/>
        <w:outlineLvl w:val="0"/>
        <w:rPr>
          <w:rFonts w:ascii="Times New Roman" w:hAnsi="Times New Roman" w:eastAsia="黑体" w:cs="Times New Roman"/>
          <w:bCs/>
          <w:color w:val="000000" w:themeColor="text1"/>
          <w:sz w:val="36"/>
          <w:szCs w:val="36"/>
        </w:rPr>
      </w:pPr>
    </w:p>
    <w:p w14:paraId="34696E2E">
      <w:pPr>
        <w:spacing w:line="440" w:lineRule="exact"/>
        <w:jc w:val="center"/>
        <w:rPr>
          <w:rFonts w:ascii="Times New Roman" w:hAnsi="Times New Roman" w:eastAsia="方正小标宋简体"/>
          <w:color w:val="000000" w:themeColor="text1"/>
          <w:sz w:val="44"/>
          <w:szCs w:val="44"/>
        </w:rPr>
      </w:pPr>
    </w:p>
    <w:p w14:paraId="63B37979">
      <w:pPr>
        <w:spacing w:line="440" w:lineRule="exact"/>
        <w:jc w:val="center"/>
        <w:rPr>
          <w:rFonts w:ascii="Times New Roman" w:hAnsi="Times New Roman" w:eastAsia="方正小标宋简体"/>
          <w:color w:val="000000" w:themeColor="text1"/>
          <w:sz w:val="44"/>
          <w:szCs w:val="44"/>
        </w:rPr>
      </w:pPr>
    </w:p>
    <w:p w14:paraId="272ABD9B">
      <w:pPr>
        <w:spacing w:line="440" w:lineRule="exact"/>
        <w:jc w:val="center"/>
        <w:rPr>
          <w:rFonts w:ascii="Times New Roman" w:hAnsi="Times New Roman" w:eastAsia="方正小标宋简体"/>
          <w:color w:val="000000" w:themeColor="text1"/>
          <w:sz w:val="44"/>
          <w:szCs w:val="44"/>
        </w:rPr>
      </w:pPr>
    </w:p>
    <w:p w14:paraId="2802D359">
      <w:pPr>
        <w:spacing w:line="440" w:lineRule="exact"/>
        <w:jc w:val="center"/>
        <w:rPr>
          <w:rFonts w:ascii="Times New Roman" w:hAnsi="Times New Roman" w:eastAsia="方正小标宋简体"/>
          <w:color w:val="000000" w:themeColor="text1"/>
          <w:sz w:val="44"/>
          <w:szCs w:val="44"/>
        </w:rPr>
      </w:pPr>
      <w:r>
        <w:rPr>
          <w:rFonts w:ascii="Times New Roman" w:hAnsi="Times New Roman" w:eastAsia="方正小标宋简体"/>
          <w:color w:val="000000" w:themeColor="text1"/>
          <w:sz w:val="44"/>
          <w:szCs w:val="44"/>
        </w:rPr>
        <w:t>目    录</w:t>
      </w:r>
    </w:p>
    <w:p w14:paraId="1345C0D6">
      <w:pPr>
        <w:spacing w:line="440" w:lineRule="exact"/>
        <w:jc w:val="center"/>
        <w:rPr>
          <w:rFonts w:ascii="Times New Roman" w:hAnsi="Times New Roman" w:eastAsia="方正小标宋简体"/>
          <w:color w:val="000000" w:themeColor="text1"/>
          <w:sz w:val="44"/>
          <w:szCs w:val="44"/>
        </w:rPr>
      </w:pPr>
    </w:p>
    <w:p w14:paraId="077E8228">
      <w:pPr>
        <w:spacing w:beforeLines="50" w:line="560" w:lineRule="exact"/>
        <w:ind w:firstLine="565" w:firstLineChars="176"/>
        <w:jc w:val="left"/>
        <w:rPr>
          <w:rFonts w:ascii="Times New Roman" w:hAnsi="Times New Roman" w:eastAsia="仿宋_GB2312"/>
          <w:b/>
          <w:color w:val="000000" w:themeColor="text1"/>
          <w:sz w:val="32"/>
          <w:szCs w:val="32"/>
        </w:rPr>
      </w:pPr>
      <w:r>
        <w:rPr>
          <w:rFonts w:ascii="Times New Roman" w:hAnsi="Times New Roman" w:eastAsia="仿宋_GB2312"/>
          <w:b/>
          <w:color w:val="000000" w:themeColor="text1"/>
          <w:sz w:val="32"/>
          <w:szCs w:val="32"/>
        </w:rPr>
        <w:t>第一部分</w:t>
      </w:r>
      <w:r>
        <w:rPr>
          <w:rFonts w:hint="eastAsia" w:ascii="Times New Roman" w:hAnsi="Times New Roman" w:eastAsia="仿宋_GB2312"/>
          <w:b/>
          <w:color w:val="000000" w:themeColor="text1"/>
          <w:sz w:val="32"/>
          <w:szCs w:val="32"/>
          <w:lang w:eastAsia="zh-CN"/>
        </w:rPr>
        <w:t>部门</w:t>
      </w:r>
      <w:r>
        <w:rPr>
          <w:rFonts w:ascii="Times New Roman" w:hAnsi="Times New Roman" w:eastAsia="仿宋_GB2312"/>
          <w:b/>
          <w:color w:val="000000" w:themeColor="text1"/>
          <w:sz w:val="32"/>
          <w:szCs w:val="32"/>
        </w:rPr>
        <w:t>概况</w:t>
      </w:r>
    </w:p>
    <w:p w14:paraId="28A81E38">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主要</w:t>
      </w:r>
      <w:r>
        <w:rPr>
          <w:rFonts w:ascii="Times New Roman" w:hAnsi="Times New Roman" w:eastAsia="仿宋_GB2312"/>
          <w:color w:val="000000" w:themeColor="text1"/>
          <w:sz w:val="32"/>
          <w:szCs w:val="32"/>
        </w:rPr>
        <w:t>职责</w:t>
      </w:r>
    </w:p>
    <w:p w14:paraId="4CCB37A6">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w:t>
      </w:r>
      <w:r>
        <w:rPr>
          <w:rFonts w:hint="eastAsia" w:ascii="Times New Roman" w:hAnsi="Times New Roman" w:eastAsia="仿宋_GB2312"/>
          <w:color w:val="000000" w:themeColor="text1"/>
          <w:sz w:val="32"/>
          <w:szCs w:val="32"/>
          <w:u w:val="none"/>
        </w:rPr>
        <w:t>部门</w:t>
      </w:r>
      <w:r>
        <w:rPr>
          <w:rFonts w:ascii="Times New Roman" w:hAnsi="Times New Roman" w:eastAsia="仿宋_GB2312"/>
          <w:color w:val="000000" w:themeColor="text1"/>
          <w:sz w:val="32"/>
          <w:szCs w:val="32"/>
        </w:rPr>
        <w:t>预算构成</w:t>
      </w:r>
    </w:p>
    <w:p w14:paraId="183D98BE">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3.</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度主要工作任务</w:t>
      </w:r>
    </w:p>
    <w:p w14:paraId="416198FE">
      <w:pPr>
        <w:spacing w:line="560" w:lineRule="exact"/>
        <w:ind w:firstLine="565" w:firstLineChars="176"/>
        <w:jc w:val="left"/>
        <w:rPr>
          <w:rFonts w:ascii="Times New Roman" w:hAnsi="Times New Roman" w:eastAsia="仿宋_GB2312"/>
          <w:b/>
          <w:color w:val="000000" w:themeColor="text1"/>
          <w:sz w:val="32"/>
          <w:szCs w:val="32"/>
        </w:rPr>
      </w:pPr>
      <w:r>
        <w:rPr>
          <w:rFonts w:ascii="Times New Roman" w:hAnsi="Times New Roman" w:eastAsia="仿宋_GB2312"/>
          <w:b/>
          <w:color w:val="000000" w:themeColor="text1"/>
          <w:sz w:val="32"/>
          <w:szCs w:val="32"/>
        </w:rPr>
        <w:t>第二部分</w:t>
      </w:r>
      <w:r>
        <w:rPr>
          <w:rFonts w:hint="eastAsia" w:ascii="Times New Roman" w:hAnsi="Times New Roman" w:eastAsia="仿宋_GB2312"/>
          <w:b/>
          <w:color w:val="000000" w:themeColor="text1"/>
          <w:sz w:val="32"/>
          <w:szCs w:val="32"/>
        </w:rPr>
        <w:t>2023年</w:t>
      </w:r>
      <w:r>
        <w:rPr>
          <w:rFonts w:ascii="Times New Roman" w:hAnsi="Times New Roman" w:eastAsia="仿宋_GB2312"/>
          <w:b/>
          <w:color w:val="000000" w:themeColor="text1"/>
          <w:sz w:val="32"/>
          <w:szCs w:val="32"/>
        </w:rPr>
        <w:t>预算</w:t>
      </w:r>
      <w:r>
        <w:rPr>
          <w:rFonts w:hint="eastAsia" w:ascii="Times New Roman" w:hAnsi="Times New Roman" w:eastAsia="仿宋_GB2312"/>
          <w:b/>
          <w:color w:val="000000" w:themeColor="text1"/>
          <w:sz w:val="32"/>
          <w:szCs w:val="32"/>
        </w:rPr>
        <w:t>报</w:t>
      </w:r>
      <w:r>
        <w:rPr>
          <w:rFonts w:ascii="Times New Roman" w:hAnsi="Times New Roman" w:eastAsia="仿宋_GB2312"/>
          <w:b/>
          <w:color w:val="000000" w:themeColor="text1"/>
          <w:sz w:val="32"/>
          <w:szCs w:val="32"/>
        </w:rPr>
        <w:t>表</w:t>
      </w:r>
    </w:p>
    <w:p w14:paraId="32B0DC4A">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收支总表</w:t>
      </w:r>
    </w:p>
    <w:p w14:paraId="07D78213">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收入总表</w:t>
      </w:r>
    </w:p>
    <w:p w14:paraId="6F9410BF">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支出总表</w:t>
      </w:r>
    </w:p>
    <w:p w14:paraId="1F95F70A">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财政拨款收支总表</w:t>
      </w:r>
    </w:p>
    <w:p w14:paraId="49981AFF">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一般公共预算支出表</w:t>
      </w:r>
    </w:p>
    <w:p w14:paraId="2B10FF99">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一般公共预算基本支出表</w:t>
      </w:r>
    </w:p>
    <w:p w14:paraId="771DE3CD">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政府性基金预算支出表</w:t>
      </w:r>
    </w:p>
    <w:p w14:paraId="6CF053BC">
      <w:pPr>
        <w:numPr>
          <w:ilvl w:val="0"/>
          <w:numId w:val="2"/>
        </w:num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国有资本经营预算支出表</w:t>
      </w:r>
    </w:p>
    <w:p w14:paraId="1D5EAE61">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9.</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基本支出总表</w:t>
      </w:r>
    </w:p>
    <w:p w14:paraId="254DE7C9">
      <w:p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10.</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2023年项目</w:t>
      </w:r>
      <w:r>
        <w:rPr>
          <w:rFonts w:ascii="Times New Roman" w:hAnsi="Times New Roman" w:eastAsia="仿宋_GB2312"/>
          <w:color w:val="000000" w:themeColor="text1"/>
          <w:sz w:val="32"/>
          <w:szCs w:val="32"/>
        </w:rPr>
        <w:t>支出总表</w:t>
      </w:r>
    </w:p>
    <w:p w14:paraId="455B51B3">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1</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政府采购支出表</w:t>
      </w:r>
    </w:p>
    <w:p w14:paraId="45BD3E88">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2</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政府购买服务支出表</w:t>
      </w:r>
    </w:p>
    <w:p w14:paraId="66C91273">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3</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“三公”经费支出预算表</w:t>
      </w:r>
    </w:p>
    <w:p w14:paraId="6DF4243F">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项目支出绩效目标表</w:t>
      </w:r>
    </w:p>
    <w:p w14:paraId="64D57D8E">
      <w:pPr>
        <w:spacing w:line="560" w:lineRule="exact"/>
        <w:ind w:firstLine="565" w:firstLineChars="176"/>
        <w:jc w:val="left"/>
        <w:rPr>
          <w:rFonts w:ascii="Times New Roman" w:hAnsi="Times New Roman" w:eastAsia="仿宋_GB2312"/>
          <w:b/>
          <w:color w:val="000000" w:themeColor="text1"/>
          <w:sz w:val="32"/>
          <w:szCs w:val="32"/>
        </w:rPr>
      </w:pPr>
      <w:r>
        <w:rPr>
          <w:rFonts w:ascii="Times New Roman" w:hAnsi="Times New Roman" w:eastAsia="仿宋_GB2312"/>
          <w:b/>
          <w:color w:val="000000" w:themeColor="text1"/>
          <w:sz w:val="32"/>
          <w:szCs w:val="32"/>
        </w:rPr>
        <w:t>第三部分</w:t>
      </w:r>
      <w:r>
        <w:rPr>
          <w:rFonts w:hint="eastAsia" w:ascii="Times New Roman" w:hAnsi="Times New Roman" w:eastAsia="仿宋_GB2312"/>
          <w:b/>
          <w:color w:val="000000" w:themeColor="text1"/>
          <w:sz w:val="32"/>
          <w:szCs w:val="32"/>
        </w:rPr>
        <w:t>2023年</w:t>
      </w:r>
      <w:r>
        <w:rPr>
          <w:rFonts w:hint="eastAsia" w:ascii="Times New Roman" w:hAnsi="Times New Roman" w:eastAsia="仿宋_GB2312"/>
          <w:b/>
          <w:color w:val="000000" w:themeColor="text1"/>
          <w:sz w:val="32"/>
          <w:szCs w:val="32"/>
          <w:u w:val="none"/>
        </w:rPr>
        <w:t>部门</w:t>
      </w:r>
      <w:r>
        <w:rPr>
          <w:rFonts w:ascii="Times New Roman" w:hAnsi="Times New Roman" w:eastAsia="仿宋_GB2312"/>
          <w:b/>
          <w:color w:val="000000" w:themeColor="text1"/>
          <w:sz w:val="32"/>
          <w:szCs w:val="32"/>
        </w:rPr>
        <w:t>预算情况说明</w:t>
      </w:r>
    </w:p>
    <w:p w14:paraId="3E52DA30">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关于2023年收支总表的说明</w:t>
      </w:r>
    </w:p>
    <w:p w14:paraId="030F4028">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w:t>
      </w:r>
      <w:r>
        <w:rPr>
          <w:rFonts w:hint="eastAsia" w:ascii="Times New Roman" w:hAnsi="Times New Roman" w:eastAsia="仿宋_GB2312"/>
          <w:color w:val="000000" w:themeColor="text1"/>
          <w:sz w:val="32"/>
          <w:szCs w:val="32"/>
        </w:rPr>
        <w:t>关于2023年收入总表的说明</w:t>
      </w:r>
    </w:p>
    <w:p w14:paraId="58A8FD41">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3.</w:t>
      </w:r>
      <w:r>
        <w:rPr>
          <w:rFonts w:hint="eastAsia" w:ascii="Times New Roman" w:hAnsi="Times New Roman" w:eastAsia="仿宋_GB2312"/>
          <w:color w:val="000000" w:themeColor="text1"/>
          <w:sz w:val="32"/>
          <w:szCs w:val="32"/>
        </w:rPr>
        <w:t>关于2023年支出总表的说明</w:t>
      </w:r>
    </w:p>
    <w:p w14:paraId="30FC302A">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4.</w:t>
      </w:r>
      <w:r>
        <w:rPr>
          <w:rFonts w:hint="eastAsia" w:ascii="Times New Roman" w:hAnsi="Times New Roman" w:eastAsia="仿宋_GB2312"/>
          <w:color w:val="000000" w:themeColor="text1"/>
          <w:sz w:val="32"/>
          <w:szCs w:val="32"/>
        </w:rPr>
        <w:t>关于2023年财政拨款收支总表的说明</w:t>
      </w:r>
    </w:p>
    <w:p w14:paraId="692D7626">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5.</w:t>
      </w:r>
      <w:r>
        <w:rPr>
          <w:rFonts w:hint="eastAsia" w:ascii="Times New Roman" w:hAnsi="Times New Roman" w:eastAsia="仿宋_GB2312"/>
          <w:color w:val="000000" w:themeColor="text1"/>
          <w:sz w:val="32"/>
          <w:szCs w:val="32"/>
        </w:rPr>
        <w:t>关于2023年一般公共预算支出表的说明</w:t>
      </w:r>
    </w:p>
    <w:p w14:paraId="7CD41227">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6.</w:t>
      </w:r>
      <w:r>
        <w:rPr>
          <w:rFonts w:hint="eastAsia" w:ascii="Times New Roman" w:hAnsi="Times New Roman" w:eastAsia="仿宋_GB2312"/>
          <w:color w:val="000000" w:themeColor="text1"/>
          <w:sz w:val="32"/>
          <w:szCs w:val="32"/>
        </w:rPr>
        <w:t>关于2023年一般公共预算基本支出表的说明</w:t>
      </w:r>
    </w:p>
    <w:p w14:paraId="10B9BFCF">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7.</w:t>
      </w:r>
      <w:r>
        <w:rPr>
          <w:rFonts w:hint="eastAsia" w:ascii="Times New Roman" w:hAnsi="Times New Roman" w:eastAsia="仿宋_GB2312"/>
          <w:color w:val="000000" w:themeColor="text1"/>
          <w:sz w:val="32"/>
          <w:szCs w:val="32"/>
        </w:rPr>
        <w:t>关于2023年政府性基金预算支出表的说明</w:t>
      </w:r>
    </w:p>
    <w:p w14:paraId="26F0656F">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8.</w:t>
      </w:r>
      <w:r>
        <w:rPr>
          <w:rFonts w:hint="eastAsia" w:ascii="Times New Roman" w:hAnsi="Times New Roman" w:eastAsia="仿宋_GB2312"/>
          <w:color w:val="000000" w:themeColor="text1"/>
          <w:sz w:val="32"/>
          <w:szCs w:val="32"/>
        </w:rPr>
        <w:t>关于2023年国有资本经营预算支出表的说明</w:t>
      </w:r>
    </w:p>
    <w:p w14:paraId="72DAE881">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9.</w:t>
      </w:r>
      <w:r>
        <w:rPr>
          <w:rFonts w:hint="eastAsia" w:ascii="Times New Roman" w:hAnsi="Times New Roman" w:eastAsia="仿宋_GB2312"/>
          <w:color w:val="000000" w:themeColor="text1"/>
          <w:sz w:val="32"/>
          <w:szCs w:val="32"/>
        </w:rPr>
        <w:t>关于2023年项目支出表的说明</w:t>
      </w:r>
    </w:p>
    <w:p w14:paraId="1AA39864">
      <w:pPr>
        <w:spacing w:line="560" w:lineRule="exact"/>
        <w:ind w:firstLine="563" w:firstLineChars="176"/>
        <w:jc w:val="left"/>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0</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关于2023年政府采购支出表的说明</w:t>
      </w:r>
    </w:p>
    <w:p w14:paraId="46E06713">
      <w:p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11.关于2023年政府购买服务支出表的说明</w:t>
      </w:r>
    </w:p>
    <w:p w14:paraId="3CDC75D5">
      <w:p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12.关于2023年“三公”经费支出预算情况说明</w:t>
      </w:r>
    </w:p>
    <w:p w14:paraId="1E365F29">
      <w:pPr>
        <w:spacing w:line="560" w:lineRule="exact"/>
        <w:ind w:firstLine="563" w:firstLineChars="176"/>
        <w:jc w:val="left"/>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13.其他重要事项情况说明</w:t>
      </w:r>
    </w:p>
    <w:p w14:paraId="0460E9AD">
      <w:pPr>
        <w:spacing w:line="560" w:lineRule="exact"/>
        <w:ind w:firstLine="565" w:firstLineChars="176"/>
        <w:jc w:val="left"/>
        <w:rPr>
          <w:rFonts w:ascii="Times New Roman" w:hAnsi="Times New Roman" w:eastAsia="仿宋_GB2312"/>
          <w:b/>
          <w:color w:val="000000" w:themeColor="text1"/>
          <w:sz w:val="32"/>
          <w:szCs w:val="32"/>
        </w:rPr>
      </w:pPr>
      <w:r>
        <w:rPr>
          <w:rFonts w:ascii="Times New Roman" w:hAnsi="Times New Roman" w:eastAsia="仿宋_GB2312"/>
          <w:b/>
          <w:color w:val="000000" w:themeColor="text1"/>
          <w:sz w:val="32"/>
          <w:szCs w:val="32"/>
        </w:rPr>
        <w:t>第</w:t>
      </w:r>
      <w:r>
        <w:rPr>
          <w:rFonts w:hint="eastAsia" w:ascii="Times New Roman" w:hAnsi="Times New Roman" w:eastAsia="仿宋_GB2312"/>
          <w:b/>
          <w:color w:val="000000" w:themeColor="text1"/>
          <w:sz w:val="32"/>
          <w:szCs w:val="32"/>
        </w:rPr>
        <w:t>四</w:t>
      </w:r>
      <w:r>
        <w:rPr>
          <w:rFonts w:ascii="Times New Roman" w:hAnsi="Times New Roman" w:eastAsia="仿宋_GB2312"/>
          <w:b/>
          <w:color w:val="000000" w:themeColor="text1"/>
          <w:sz w:val="32"/>
          <w:szCs w:val="32"/>
        </w:rPr>
        <w:t>部分 名词解释</w:t>
      </w:r>
    </w:p>
    <w:p w14:paraId="18F33EB1">
      <w:pPr>
        <w:spacing w:line="580" w:lineRule="exact"/>
        <w:jc w:val="center"/>
        <w:rPr>
          <w:rFonts w:ascii="Times New Roman" w:hAnsi="Times New Roman" w:eastAsia="方正小标宋简体"/>
          <w:color w:val="000000" w:themeColor="text1"/>
          <w:sz w:val="44"/>
          <w:szCs w:val="44"/>
        </w:rPr>
      </w:pPr>
    </w:p>
    <w:p w14:paraId="466552C2">
      <w:pPr>
        <w:spacing w:line="580" w:lineRule="exact"/>
        <w:jc w:val="center"/>
        <w:rPr>
          <w:rFonts w:ascii="Times New Roman" w:hAnsi="Times New Roman" w:eastAsia="方正小标宋简体"/>
          <w:color w:val="000000" w:themeColor="text1"/>
          <w:sz w:val="44"/>
          <w:szCs w:val="44"/>
        </w:rPr>
      </w:pPr>
    </w:p>
    <w:p w14:paraId="05FD508F">
      <w:pPr>
        <w:spacing w:line="580" w:lineRule="exact"/>
        <w:jc w:val="center"/>
        <w:rPr>
          <w:rFonts w:ascii="Times New Roman" w:hAnsi="Times New Roman" w:eastAsia="方正小标宋简体"/>
          <w:color w:val="000000" w:themeColor="text1"/>
          <w:sz w:val="44"/>
          <w:szCs w:val="44"/>
        </w:rPr>
      </w:pPr>
    </w:p>
    <w:p w14:paraId="6C9C2A57">
      <w:pPr>
        <w:spacing w:line="580" w:lineRule="exact"/>
        <w:jc w:val="center"/>
        <w:rPr>
          <w:rFonts w:ascii="Times New Roman" w:hAnsi="Times New Roman" w:eastAsia="方正小标宋简体"/>
          <w:color w:val="000000" w:themeColor="text1"/>
          <w:sz w:val="44"/>
          <w:szCs w:val="44"/>
        </w:rPr>
      </w:pPr>
    </w:p>
    <w:p w14:paraId="60095ABD">
      <w:pPr>
        <w:spacing w:line="580" w:lineRule="exact"/>
        <w:jc w:val="center"/>
        <w:rPr>
          <w:rFonts w:ascii="Times New Roman" w:hAnsi="Times New Roman" w:eastAsia="方正小标宋简体"/>
          <w:color w:val="000000" w:themeColor="text1"/>
          <w:sz w:val="44"/>
          <w:szCs w:val="44"/>
        </w:rPr>
      </w:pPr>
    </w:p>
    <w:p w14:paraId="268EAA92">
      <w:pPr>
        <w:spacing w:line="580" w:lineRule="exact"/>
        <w:jc w:val="center"/>
        <w:rPr>
          <w:rFonts w:ascii="Times New Roman" w:hAnsi="Times New Roman" w:eastAsia="方正小标宋简体"/>
          <w:color w:val="000000" w:themeColor="text1"/>
          <w:sz w:val="44"/>
          <w:szCs w:val="44"/>
        </w:rPr>
      </w:pPr>
    </w:p>
    <w:p w14:paraId="26417D52">
      <w:pPr>
        <w:spacing w:line="580" w:lineRule="exact"/>
        <w:jc w:val="center"/>
        <w:rPr>
          <w:rFonts w:ascii="Times New Roman" w:hAnsi="Times New Roman" w:eastAsia="方正小标宋简体"/>
          <w:color w:val="000000" w:themeColor="text1"/>
          <w:sz w:val="44"/>
          <w:szCs w:val="44"/>
        </w:rPr>
      </w:pPr>
    </w:p>
    <w:p w14:paraId="536EADC3">
      <w:pPr>
        <w:spacing w:line="580" w:lineRule="exact"/>
        <w:jc w:val="center"/>
        <w:rPr>
          <w:rFonts w:ascii="Times New Roman" w:hAnsi="Times New Roman" w:eastAsia="方正小标宋简体"/>
          <w:color w:val="000000" w:themeColor="text1"/>
          <w:sz w:val="44"/>
          <w:szCs w:val="44"/>
        </w:rPr>
      </w:pPr>
    </w:p>
    <w:p w14:paraId="3ADEC868">
      <w:pPr>
        <w:spacing w:line="580" w:lineRule="exact"/>
        <w:jc w:val="center"/>
        <w:rPr>
          <w:rFonts w:ascii="Times New Roman" w:hAnsi="Times New Roman" w:eastAsia="方正小标宋简体"/>
          <w:color w:val="000000" w:themeColor="text1"/>
          <w:sz w:val="44"/>
          <w:szCs w:val="44"/>
        </w:rPr>
      </w:pPr>
    </w:p>
    <w:p w14:paraId="337A0FA4">
      <w:pPr>
        <w:spacing w:line="580" w:lineRule="exact"/>
        <w:jc w:val="center"/>
        <w:rPr>
          <w:rFonts w:ascii="Times New Roman" w:hAnsi="Times New Roman" w:eastAsia="方正小标宋简体"/>
          <w:color w:val="000000" w:themeColor="text1"/>
          <w:sz w:val="44"/>
          <w:szCs w:val="44"/>
        </w:rPr>
      </w:pPr>
    </w:p>
    <w:p w14:paraId="69FA2A9B">
      <w:pPr>
        <w:spacing w:line="580" w:lineRule="exact"/>
        <w:jc w:val="center"/>
        <w:rPr>
          <w:rFonts w:ascii="Times New Roman" w:hAnsi="Times New Roman" w:eastAsia="方正小标宋简体"/>
          <w:color w:val="000000" w:themeColor="text1"/>
          <w:sz w:val="44"/>
          <w:szCs w:val="44"/>
        </w:rPr>
      </w:pPr>
    </w:p>
    <w:p w14:paraId="76859CE1">
      <w:pPr>
        <w:spacing w:line="560" w:lineRule="exact"/>
        <w:jc w:val="both"/>
        <w:rPr>
          <w:rFonts w:ascii="Times New Roman" w:hAnsi="Times New Roman" w:eastAsia="黑体"/>
          <w:color w:val="000000" w:themeColor="text1"/>
          <w:sz w:val="36"/>
          <w:szCs w:val="36"/>
        </w:rPr>
      </w:pPr>
    </w:p>
    <w:p w14:paraId="4134D3AC">
      <w:pPr>
        <w:spacing w:line="560" w:lineRule="exact"/>
        <w:jc w:val="center"/>
        <w:rPr>
          <w:rFonts w:ascii="Times New Roman" w:hAnsi="Times New Roman" w:eastAsia="黑体"/>
          <w:color w:val="000000" w:themeColor="text1"/>
          <w:sz w:val="36"/>
          <w:szCs w:val="36"/>
        </w:rPr>
      </w:pPr>
      <w:r>
        <w:rPr>
          <w:rFonts w:ascii="Times New Roman" w:hAnsi="Times New Roman" w:eastAsia="黑体"/>
          <w:color w:val="000000" w:themeColor="text1"/>
          <w:sz w:val="36"/>
          <w:szCs w:val="36"/>
        </w:rPr>
        <w:t xml:space="preserve">第一部分  </w:t>
      </w:r>
      <w:r>
        <w:rPr>
          <w:rFonts w:hint="eastAsia" w:ascii="Times New Roman" w:hAnsi="Times New Roman" w:eastAsia="黑体"/>
          <w:color w:val="000000" w:themeColor="text1"/>
          <w:sz w:val="36"/>
          <w:szCs w:val="36"/>
          <w:u w:val="none"/>
        </w:rPr>
        <w:t>部门</w:t>
      </w:r>
      <w:r>
        <w:rPr>
          <w:rFonts w:ascii="Times New Roman" w:hAnsi="Times New Roman" w:eastAsia="黑体"/>
          <w:color w:val="000000" w:themeColor="text1"/>
          <w:sz w:val="36"/>
          <w:szCs w:val="36"/>
        </w:rPr>
        <w:t>概况</w:t>
      </w:r>
    </w:p>
    <w:p w14:paraId="43475422">
      <w:pPr>
        <w:spacing w:line="560" w:lineRule="exact"/>
        <w:ind w:firstLine="640" w:firstLineChars="200"/>
        <w:rPr>
          <w:rFonts w:ascii="Times New Roman" w:hAnsi="Times New Roman" w:eastAsia="楷体"/>
          <w:color w:val="FF0000"/>
          <w:sz w:val="32"/>
          <w:szCs w:val="32"/>
        </w:rPr>
      </w:pPr>
      <w:r>
        <w:rPr>
          <w:rFonts w:ascii="Times New Roman" w:hAnsi="Times New Roman" w:eastAsia="黑体"/>
          <w:color w:val="000000" w:themeColor="text1"/>
          <w:sz w:val="32"/>
          <w:szCs w:val="32"/>
        </w:rPr>
        <w:t>一、</w:t>
      </w:r>
      <w:r>
        <w:rPr>
          <w:rFonts w:hint="eastAsia" w:ascii="Times New Roman" w:hAnsi="Times New Roman" w:eastAsia="黑体"/>
          <w:color w:val="000000" w:themeColor="text1"/>
          <w:sz w:val="32"/>
          <w:szCs w:val="32"/>
        </w:rPr>
        <w:t>主要</w:t>
      </w:r>
      <w:r>
        <w:rPr>
          <w:rFonts w:ascii="Times New Roman" w:hAnsi="Times New Roman" w:eastAsia="黑体"/>
          <w:color w:val="000000" w:themeColor="text1"/>
          <w:sz w:val="32"/>
          <w:szCs w:val="32"/>
        </w:rPr>
        <w:t>职责</w:t>
      </w:r>
    </w:p>
    <w:p w14:paraId="147C900F">
      <w:pPr>
        <w:tabs>
          <w:tab w:val="right" w:leader="middleDot" w:pos="14080"/>
        </w:tabs>
        <w:spacing w:line="580" w:lineRule="exact"/>
        <w:ind w:firstLine="640" w:firstLineChars="200"/>
        <w:jc w:val="left"/>
        <w:rPr>
          <w:rFonts w:hint="eastAsia" w:ascii="Times New Roman" w:hAnsi="仿宋" w:eastAsia="仿宋_GB2312"/>
          <w:color w:val="auto"/>
          <w:sz w:val="32"/>
          <w:szCs w:val="32"/>
        </w:rPr>
      </w:pPr>
      <w:r>
        <w:rPr>
          <w:rFonts w:hint="eastAsia" w:ascii="Times New Roman" w:hAnsi="仿宋" w:eastAsia="仿宋_GB2312"/>
          <w:color w:val="auto"/>
          <w:sz w:val="32"/>
          <w:szCs w:val="32"/>
          <w:lang w:eastAsia="zh-CN"/>
        </w:rPr>
        <w:t>人民检察院</w:t>
      </w:r>
      <w:r>
        <w:rPr>
          <w:rFonts w:hint="eastAsia" w:ascii="Times New Roman" w:hAnsi="仿宋" w:eastAsia="仿宋_GB2312"/>
          <w:color w:val="auto"/>
          <w:sz w:val="32"/>
          <w:szCs w:val="32"/>
        </w:rPr>
        <w:t>主要职责是：</w:t>
      </w:r>
    </w:p>
    <w:p w14:paraId="1F2BAE4D">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（一）依照法律规定对有关刑事案件行使侦查权；</w:t>
      </w:r>
    </w:p>
    <w:p w14:paraId="4FAE8D8F">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（二）对刑事案件进行审查，批准或者决定是否逮捕犯罪嫌疑人；</w:t>
      </w:r>
    </w:p>
    <w:p w14:paraId="4BC2DC16">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（三）对刑事案件进行审查，决定是否提起公诉，对决定提起公诉的案件支持公诉；</w:t>
      </w:r>
    </w:p>
    <w:p w14:paraId="479E0CF8">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（四）依照法律规定提起公益诉讼；</w:t>
      </w:r>
    </w:p>
    <w:p w14:paraId="550A8515">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（五）对诉讼活动实行法律监督；</w:t>
      </w:r>
    </w:p>
    <w:p w14:paraId="102290C4">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（六）对判决、裁定等生效法律文书的执行工作实行法律监督；</w:t>
      </w:r>
    </w:p>
    <w:p w14:paraId="24472B2C">
      <w:pPr>
        <w:ind w:firstLine="640" w:firstLineChars="200"/>
        <w:jc w:val="left"/>
        <w:rPr>
          <w:rFonts w:hint="eastAsia" w:ascii="Times New Roman" w:hAnsi="Times New Roman" w:eastAsia="仿宋_GB2312"/>
          <w:sz w:val="32"/>
          <w:szCs w:val="24"/>
          <w:lang w:val="en-US" w:eastAsia="zh-CN"/>
        </w:rPr>
      </w:pPr>
      <w:r>
        <w:rPr>
          <w:rFonts w:hint="eastAsia" w:ascii="Times New Roman" w:hAnsi="Times New Roman" w:eastAsia="仿宋_GB2312"/>
          <w:sz w:val="32"/>
          <w:szCs w:val="24"/>
          <w:lang w:val="en-US" w:eastAsia="zh-CN"/>
        </w:rPr>
        <w:t>（七）对监狱、看守所的执法活动实行法律监督；</w:t>
      </w:r>
    </w:p>
    <w:p w14:paraId="3D5CC153">
      <w:pPr>
        <w:ind w:firstLine="640" w:firstLineChars="200"/>
        <w:jc w:val="left"/>
        <w:rPr>
          <w:rFonts w:ascii="Times New Roman" w:hAnsi="Times New Roman" w:eastAsia="仿宋_GB2312" w:cs="Times New Roman"/>
          <w:bCs/>
          <w:color w:val="000000" w:themeColor="text1"/>
          <w:sz w:val="32"/>
          <w:szCs w:val="32"/>
        </w:rPr>
      </w:pPr>
      <w:r>
        <w:rPr>
          <w:rFonts w:hint="eastAsia" w:ascii="Times New Roman" w:hAnsi="Times New Roman" w:eastAsia="仿宋_GB2312"/>
          <w:sz w:val="32"/>
          <w:szCs w:val="24"/>
          <w:lang w:val="en-US" w:eastAsia="zh-CN"/>
        </w:rPr>
        <w:t>（八）法律规定的其他职权。</w:t>
      </w:r>
    </w:p>
    <w:p w14:paraId="77471A52">
      <w:pPr>
        <w:spacing w:line="560" w:lineRule="exact"/>
        <w:ind w:firstLine="640" w:firstLineChars="200"/>
        <w:rPr>
          <w:rFonts w:ascii="Times New Roman" w:hAnsi="Times New Roman" w:eastAsia="黑体"/>
          <w:color w:val="000000" w:themeColor="text1"/>
          <w:sz w:val="32"/>
          <w:szCs w:val="32"/>
        </w:rPr>
      </w:pPr>
      <w:r>
        <w:rPr>
          <w:rFonts w:ascii="Times New Roman" w:hAnsi="Times New Roman" w:eastAsia="黑体"/>
          <w:color w:val="000000" w:themeColor="text1"/>
          <w:sz w:val="32"/>
          <w:szCs w:val="32"/>
        </w:rPr>
        <w:t>二、</w:t>
      </w:r>
      <w:r>
        <w:rPr>
          <w:rFonts w:hint="eastAsia" w:ascii="Times New Roman" w:hAnsi="Times New Roman" w:eastAsia="黑体"/>
          <w:color w:val="000000" w:themeColor="text1"/>
          <w:sz w:val="32"/>
          <w:szCs w:val="32"/>
          <w:u w:val="none"/>
        </w:rPr>
        <w:t>部门</w:t>
      </w:r>
      <w:r>
        <w:rPr>
          <w:rFonts w:ascii="Times New Roman" w:hAnsi="Times New Roman" w:eastAsia="黑体"/>
          <w:color w:val="000000" w:themeColor="text1"/>
          <w:sz w:val="32"/>
          <w:szCs w:val="32"/>
        </w:rPr>
        <w:t>预算构成</w:t>
      </w:r>
    </w:p>
    <w:p w14:paraId="640A61C2">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度</w:t>
      </w:r>
      <w:r>
        <w:rPr>
          <w:rFonts w:hint="eastAsia" w:ascii="Times New Roman" w:hAnsi="Times New Roman" w:eastAsia="仿宋_GB2312"/>
          <w:color w:val="000000" w:themeColor="text1"/>
          <w:sz w:val="32"/>
          <w:szCs w:val="32"/>
          <w:u w:val="none"/>
        </w:rPr>
        <w:t>部门</w:t>
      </w:r>
      <w:r>
        <w:rPr>
          <w:rFonts w:ascii="Times New Roman" w:hAnsi="Times New Roman" w:eastAsia="仿宋_GB2312"/>
          <w:color w:val="000000" w:themeColor="text1"/>
          <w:sz w:val="32"/>
          <w:szCs w:val="32"/>
        </w:rPr>
        <w:t>预算为</w:t>
      </w:r>
      <w:r>
        <w:rPr>
          <w:rFonts w:hint="eastAsia" w:ascii="Times New Roman" w:hAnsi="Times New Roman" w:eastAsia="仿宋_GB2312"/>
          <w:color w:val="000000" w:themeColor="text1"/>
          <w:sz w:val="32"/>
          <w:szCs w:val="32"/>
          <w:lang w:eastAsia="zh-CN"/>
        </w:rPr>
        <w:t>院</w:t>
      </w:r>
      <w:r>
        <w:rPr>
          <w:rFonts w:ascii="Times New Roman" w:hAnsi="Times New Roman" w:eastAsia="仿宋_GB2312"/>
          <w:color w:val="000000" w:themeColor="text1"/>
          <w:sz w:val="32"/>
          <w:szCs w:val="32"/>
        </w:rPr>
        <w:t>本级预算，纳入</w:t>
      </w:r>
      <w:r>
        <w:rPr>
          <w:rFonts w:hint="eastAsia" w:ascii="Times New Roman" w:hAnsi="Times New Roman" w:eastAsia="仿宋_GB2312"/>
          <w:color w:val="000000" w:themeColor="text1"/>
          <w:sz w:val="32"/>
          <w:szCs w:val="32"/>
          <w:u w:val="none"/>
        </w:rPr>
        <w:t>部门</w:t>
      </w:r>
      <w:r>
        <w:rPr>
          <w:rFonts w:ascii="Times New Roman" w:hAnsi="Times New Roman" w:eastAsia="仿宋_GB2312"/>
          <w:color w:val="000000" w:themeColor="text1"/>
          <w:sz w:val="32"/>
          <w:szCs w:val="32"/>
        </w:rPr>
        <w:t>预算编制范围的单位共1个，单位性质为</w:t>
      </w:r>
      <w:r>
        <w:rPr>
          <w:rFonts w:ascii="Times New Roman" w:hAnsi="Times New Roman" w:eastAsia="仿宋_GB2312"/>
          <w:color w:val="000000" w:themeColor="text1"/>
          <w:sz w:val="32"/>
          <w:szCs w:val="32"/>
          <w:u w:val="none"/>
        </w:rPr>
        <w:t>行政单位</w:t>
      </w:r>
      <w:r>
        <w:rPr>
          <w:rFonts w:ascii="Times New Roman" w:hAnsi="Times New Roman" w:eastAsia="仿宋_GB2312"/>
          <w:color w:val="000000" w:themeColor="text1"/>
          <w:sz w:val="32"/>
          <w:szCs w:val="32"/>
        </w:rPr>
        <w:t>。截至</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12月，</w:t>
      </w:r>
      <w:r>
        <w:rPr>
          <w:rFonts w:hint="eastAsia" w:ascii="Times New Roman" w:hAnsi="Times New Roman" w:eastAsia="仿宋_GB2312"/>
          <w:color w:val="000000" w:themeColor="text1"/>
          <w:sz w:val="32"/>
          <w:szCs w:val="32"/>
        </w:rPr>
        <w:t>霍山县</w:t>
      </w:r>
      <w:r>
        <w:rPr>
          <w:rFonts w:hint="eastAsia" w:ascii="Times New Roman" w:hAnsi="Times New Roman" w:eastAsia="仿宋_GB2312"/>
          <w:color w:val="000000" w:themeColor="text1"/>
          <w:sz w:val="32"/>
          <w:szCs w:val="32"/>
          <w:lang w:eastAsia="zh-CN"/>
        </w:rPr>
        <w:t>人民检察院</w:t>
      </w:r>
      <w:r>
        <w:rPr>
          <w:rFonts w:ascii="Times New Roman" w:hAnsi="Times New Roman" w:eastAsia="仿宋_GB2312"/>
          <w:color w:val="000000" w:themeColor="text1"/>
          <w:sz w:val="32"/>
          <w:szCs w:val="32"/>
        </w:rPr>
        <w:t>实有各类人员</w:t>
      </w:r>
      <w:r>
        <w:rPr>
          <w:rFonts w:hint="eastAsia" w:ascii="Times New Roman" w:hAnsi="Times New Roman" w:eastAsia="仿宋_GB2312"/>
          <w:color w:val="000000" w:themeColor="text1"/>
          <w:sz w:val="32"/>
          <w:szCs w:val="32"/>
          <w:lang w:val="en-US" w:eastAsia="zh-CN"/>
        </w:rPr>
        <w:t>72</w:t>
      </w:r>
      <w:r>
        <w:rPr>
          <w:rFonts w:ascii="Times New Roman" w:hAnsi="Times New Roman" w:eastAsia="仿宋_GB2312"/>
          <w:color w:val="000000" w:themeColor="text1"/>
          <w:sz w:val="32"/>
          <w:szCs w:val="32"/>
        </w:rPr>
        <w:t>人，其中</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在职</w:t>
      </w:r>
      <w:r>
        <w:rPr>
          <w:rFonts w:hint="eastAsia" w:ascii="Times New Roman" w:hAnsi="Times New Roman" w:eastAsia="仿宋_GB2312"/>
          <w:color w:val="000000" w:themeColor="text1"/>
          <w:sz w:val="32"/>
          <w:szCs w:val="32"/>
          <w:lang w:val="en-US" w:eastAsia="zh-CN"/>
        </w:rPr>
        <w:t>45</w:t>
      </w:r>
      <w:r>
        <w:rPr>
          <w:rFonts w:ascii="Times New Roman" w:hAnsi="Times New Roman" w:eastAsia="仿宋_GB2312"/>
          <w:color w:val="000000" w:themeColor="text1"/>
          <w:sz w:val="32"/>
          <w:szCs w:val="32"/>
        </w:rPr>
        <w:t>人、</w:t>
      </w:r>
      <w:r>
        <w:rPr>
          <w:rFonts w:hint="eastAsia" w:ascii="Times New Roman" w:hAnsi="Times New Roman" w:eastAsia="仿宋_GB2312"/>
          <w:color w:val="000000" w:themeColor="text1"/>
          <w:sz w:val="32"/>
          <w:szCs w:val="32"/>
          <w:lang w:val="en-US" w:eastAsia="zh-CN"/>
        </w:rPr>
        <w:t>离休0人、</w:t>
      </w:r>
      <w:r>
        <w:rPr>
          <w:rFonts w:ascii="Times New Roman" w:hAnsi="Times New Roman" w:eastAsia="仿宋_GB2312"/>
          <w:color w:val="000000" w:themeColor="text1"/>
          <w:sz w:val="32"/>
          <w:szCs w:val="32"/>
        </w:rPr>
        <w:t>退休</w:t>
      </w:r>
      <w:r>
        <w:rPr>
          <w:rFonts w:hint="eastAsia" w:ascii="Times New Roman" w:hAnsi="Times New Roman" w:eastAsia="仿宋_GB2312"/>
          <w:color w:val="000000" w:themeColor="text1"/>
          <w:sz w:val="32"/>
          <w:szCs w:val="32"/>
          <w:lang w:val="en-US" w:eastAsia="zh-CN"/>
        </w:rPr>
        <w:t>27</w:t>
      </w:r>
      <w:r>
        <w:rPr>
          <w:rFonts w:ascii="Times New Roman" w:hAnsi="Times New Roman" w:eastAsia="仿宋_GB2312"/>
          <w:color w:val="000000" w:themeColor="text1"/>
          <w:sz w:val="32"/>
          <w:szCs w:val="32"/>
        </w:rPr>
        <w:t>人。</w:t>
      </w:r>
    </w:p>
    <w:p w14:paraId="62333F77">
      <w:pPr>
        <w:spacing w:line="560" w:lineRule="exact"/>
        <w:ind w:firstLine="640" w:firstLineChars="200"/>
        <w:rPr>
          <w:rFonts w:ascii="Times New Roman" w:hAnsi="Times New Roman" w:eastAsia="黑体"/>
          <w:color w:val="000000" w:themeColor="text1"/>
          <w:sz w:val="32"/>
          <w:szCs w:val="32"/>
        </w:rPr>
      </w:pPr>
      <w:r>
        <w:rPr>
          <w:rFonts w:ascii="Times New Roman" w:hAnsi="Times New Roman" w:eastAsia="黑体"/>
          <w:color w:val="000000" w:themeColor="text1"/>
          <w:sz w:val="32"/>
          <w:szCs w:val="32"/>
        </w:rPr>
        <w:t>三、</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度主要工作任务</w:t>
      </w:r>
    </w:p>
    <w:p w14:paraId="05B4FEAA">
      <w:pPr>
        <w:spacing w:line="520" w:lineRule="exact"/>
        <w:ind w:firstLine="640" w:firstLineChars="200"/>
        <w:rPr>
          <w:rFonts w:hint="eastAsia" w:ascii="仿宋" w:hAnsi="仿宋" w:eastAsia="仿宋" w:cs="华文仿宋"/>
          <w:sz w:val="32"/>
          <w:szCs w:val="32"/>
        </w:rPr>
      </w:pPr>
      <w:r>
        <w:rPr>
          <w:rFonts w:hint="eastAsia" w:ascii="仿宋" w:hAnsi="仿宋" w:eastAsia="仿宋" w:cs="华文仿宋"/>
          <w:sz w:val="32"/>
          <w:szCs w:val="32"/>
        </w:rPr>
        <w:t>202</w:t>
      </w:r>
      <w:r>
        <w:rPr>
          <w:rFonts w:hint="eastAsia" w:ascii="仿宋" w:hAnsi="仿宋" w:eastAsia="仿宋" w:cs="华文仿宋"/>
          <w:sz w:val="32"/>
          <w:szCs w:val="32"/>
          <w:lang w:val="en"/>
        </w:rPr>
        <w:t>3</w:t>
      </w:r>
      <w:r>
        <w:rPr>
          <w:rFonts w:hint="eastAsia" w:ascii="仿宋" w:hAnsi="仿宋" w:eastAsia="仿宋" w:cs="华文仿宋"/>
          <w:sz w:val="32"/>
          <w:szCs w:val="32"/>
        </w:rPr>
        <w:t>年，我院将深入学习贯彻党的二十大精神，落实落细《中共中央</w:t>
      </w:r>
      <w:r>
        <w:rPr>
          <w:rFonts w:ascii="仿宋" w:hAnsi="仿宋" w:eastAsia="仿宋" w:cs="华文仿宋"/>
          <w:sz w:val="32"/>
          <w:szCs w:val="32"/>
        </w:rPr>
        <w:t>关于加强新时代检察机关法律监督工作的意见</w:t>
      </w:r>
      <w:r>
        <w:rPr>
          <w:rFonts w:hint="eastAsia" w:ascii="仿宋" w:hAnsi="仿宋" w:eastAsia="仿宋" w:cs="华文仿宋"/>
          <w:sz w:val="32"/>
          <w:szCs w:val="32"/>
        </w:rPr>
        <w:t>》，坚持以习近平法治思想为引领，坚持党对检察工作的绝对领导，坚持为大局服务、为人民司法，努力为新时代霍山经济社会平稳健康发展提供优质的法治服务和法治保障。</w:t>
      </w:r>
    </w:p>
    <w:p w14:paraId="75B05CDD">
      <w:pPr>
        <w:spacing w:line="520" w:lineRule="exact"/>
        <w:ind w:firstLine="627" w:firstLineChars="196"/>
        <w:rPr>
          <w:rFonts w:ascii="宋体" w:hAnsi="宋体" w:cs="华文仿宋"/>
          <w:kern w:val="0"/>
          <w:sz w:val="24"/>
        </w:rPr>
      </w:pPr>
      <w:r>
        <w:rPr>
          <w:rFonts w:hint="eastAsia" w:ascii="楷体" w:hAnsi="楷体" w:eastAsia="楷体" w:cs="华文仿宋"/>
          <w:sz w:val="32"/>
          <w:szCs w:val="32"/>
        </w:rPr>
        <w:t>一是以更高的政治自觉服务大局、维护稳定。</w:t>
      </w:r>
      <w:r>
        <w:rPr>
          <w:rFonts w:hAnsi="仿宋" w:eastAsia="仿宋" w:cs="华文仿宋"/>
          <w:kern w:val="0"/>
          <w:sz w:val="32"/>
          <w:szCs w:val="32"/>
        </w:rPr>
        <w:t>深刻把握新发展格局对检察工作的新要求</w:t>
      </w:r>
      <w:r>
        <w:rPr>
          <w:rFonts w:hAnsi="仿宋" w:eastAsia="仿宋" w:cs="华文仿宋"/>
          <w:sz w:val="32"/>
          <w:szCs w:val="32"/>
        </w:rPr>
        <w:t>，进一步增强</w:t>
      </w:r>
      <w:r>
        <w:rPr>
          <w:rFonts w:hint="eastAsia" w:eastAsia="仿宋" w:cs="华文仿宋"/>
          <w:sz w:val="32"/>
          <w:szCs w:val="32"/>
        </w:rPr>
        <w:t>“</w:t>
      </w:r>
      <w:r>
        <w:rPr>
          <w:rFonts w:hAnsi="仿宋" w:eastAsia="仿宋" w:cs="华文仿宋"/>
          <w:sz w:val="32"/>
          <w:szCs w:val="32"/>
        </w:rPr>
        <w:t>四个意识</w:t>
      </w:r>
      <w:r>
        <w:rPr>
          <w:rFonts w:hint="eastAsia" w:eastAsia="仿宋" w:cs="华文仿宋"/>
          <w:sz w:val="32"/>
          <w:szCs w:val="32"/>
        </w:rPr>
        <w:t>”</w:t>
      </w:r>
      <w:r>
        <w:rPr>
          <w:rFonts w:hint="eastAsia" w:hAnsi="仿宋" w:eastAsia="仿宋" w:cs="华文仿宋"/>
          <w:sz w:val="32"/>
          <w:szCs w:val="32"/>
          <w:lang w:eastAsia="zh-CN"/>
        </w:rPr>
        <w:t>、</w:t>
      </w:r>
      <w:bookmarkStart w:id="0" w:name="_GoBack"/>
      <w:bookmarkEnd w:id="0"/>
      <w:r>
        <w:rPr>
          <w:rFonts w:hAnsi="仿宋" w:eastAsia="仿宋" w:cs="华文仿宋"/>
          <w:sz w:val="32"/>
          <w:szCs w:val="32"/>
        </w:rPr>
        <w:t>坚定</w:t>
      </w:r>
      <w:r>
        <w:rPr>
          <w:rFonts w:hint="eastAsia" w:eastAsia="仿宋" w:cs="华文仿宋"/>
          <w:sz w:val="32"/>
          <w:szCs w:val="32"/>
        </w:rPr>
        <w:t>“</w:t>
      </w:r>
      <w:r>
        <w:rPr>
          <w:rFonts w:hAnsi="仿宋" w:eastAsia="仿宋" w:cs="华文仿宋"/>
          <w:sz w:val="32"/>
          <w:szCs w:val="32"/>
        </w:rPr>
        <w:t>四个自信</w:t>
      </w:r>
      <w:r>
        <w:rPr>
          <w:rFonts w:hint="eastAsia" w:eastAsia="仿宋" w:cs="华文仿宋"/>
          <w:sz w:val="32"/>
          <w:szCs w:val="32"/>
        </w:rPr>
        <w:t>”</w:t>
      </w:r>
      <w:r>
        <w:rPr>
          <w:rFonts w:hint="eastAsia" w:hAnsi="仿宋" w:eastAsia="仿宋" w:cs="华文仿宋"/>
          <w:sz w:val="32"/>
          <w:szCs w:val="32"/>
          <w:lang w:eastAsia="zh-CN"/>
        </w:rPr>
        <w:t>、</w:t>
      </w:r>
      <w:r>
        <w:rPr>
          <w:rFonts w:hAnsi="仿宋" w:eastAsia="仿宋" w:cs="华文仿宋"/>
          <w:sz w:val="32"/>
          <w:szCs w:val="32"/>
        </w:rPr>
        <w:t>做到</w:t>
      </w:r>
      <w:r>
        <w:rPr>
          <w:rFonts w:hint="eastAsia" w:eastAsia="仿宋" w:cs="华文仿宋"/>
          <w:sz w:val="32"/>
          <w:szCs w:val="32"/>
        </w:rPr>
        <w:t>“两个维护”</w:t>
      </w:r>
      <w:r>
        <w:rPr>
          <w:rFonts w:hAnsi="仿宋" w:eastAsia="仿宋" w:cs="华文仿宋"/>
          <w:kern w:val="0"/>
          <w:sz w:val="32"/>
          <w:szCs w:val="32"/>
        </w:rPr>
        <w:t>，把服务大局、司法为民的政治责任落实到基层检察院。以更高水平的检察履职推进平安</w:t>
      </w:r>
      <w:r>
        <w:rPr>
          <w:rFonts w:hint="eastAsia" w:hAnsi="仿宋" w:eastAsia="仿宋" w:cs="华文仿宋"/>
          <w:kern w:val="0"/>
          <w:sz w:val="32"/>
          <w:szCs w:val="32"/>
        </w:rPr>
        <w:t>霍山</w:t>
      </w:r>
      <w:r>
        <w:rPr>
          <w:rFonts w:hAnsi="仿宋" w:eastAsia="仿宋" w:cs="华文仿宋"/>
          <w:kern w:val="0"/>
          <w:sz w:val="32"/>
          <w:szCs w:val="32"/>
        </w:rPr>
        <w:t>建设，坚决惩治严重危害公共安全、严重影响人民群众安全感的犯罪。着力提升检察建议质效，为推进基层治理体系和治理能力现代化贡献更多检察力量。</w:t>
      </w:r>
    </w:p>
    <w:p w14:paraId="6941A4FF">
      <w:pPr>
        <w:spacing w:line="520" w:lineRule="exact"/>
        <w:ind w:firstLine="640"/>
        <w:rPr>
          <w:rFonts w:hint="eastAsia" w:eastAsia="仿宋_GB2312" w:cs="华文仿宋"/>
          <w:sz w:val="32"/>
          <w:szCs w:val="32"/>
        </w:rPr>
      </w:pPr>
      <w:r>
        <w:rPr>
          <w:rFonts w:hint="eastAsia" w:ascii="仿宋_GB2312" w:hAnsi="宋体" w:eastAsia="仿宋_GB2312" w:cs="华文仿宋"/>
          <w:kern w:val="0"/>
          <w:sz w:val="32"/>
          <w:szCs w:val="32"/>
        </w:rPr>
        <w:t xml:space="preserve"> </w:t>
      </w:r>
      <w:r>
        <w:rPr>
          <w:rFonts w:hint="eastAsia" w:ascii="楷体" w:hAnsi="楷体" w:eastAsia="楷体" w:cs="华文仿宋"/>
          <w:sz w:val="32"/>
          <w:szCs w:val="32"/>
        </w:rPr>
        <w:t>二是以更高的法治自觉履职尽责、保障民生。</w:t>
      </w:r>
      <w:r>
        <w:rPr>
          <w:rFonts w:hAnsi="仿宋" w:eastAsia="仿宋" w:cs="华文仿宋"/>
          <w:kern w:val="0"/>
          <w:sz w:val="32"/>
          <w:szCs w:val="32"/>
        </w:rPr>
        <w:t>积极回应人民群众对美好生活的新期待、新要求，持续抓好</w:t>
      </w:r>
      <w:r>
        <w:rPr>
          <w:rFonts w:hint="eastAsia" w:eastAsia="仿宋" w:cs="华文仿宋"/>
          <w:kern w:val="0"/>
          <w:sz w:val="32"/>
          <w:szCs w:val="32"/>
        </w:rPr>
        <w:t>“</w:t>
      </w:r>
      <w:r>
        <w:rPr>
          <w:rFonts w:hAnsi="仿宋" w:eastAsia="仿宋" w:cs="华文仿宋"/>
          <w:kern w:val="0"/>
          <w:sz w:val="32"/>
          <w:szCs w:val="32"/>
        </w:rPr>
        <w:t>群众来信件件有回复</w:t>
      </w:r>
      <w:r>
        <w:rPr>
          <w:rFonts w:hint="eastAsia" w:eastAsia="仿宋" w:cs="华文仿宋"/>
          <w:kern w:val="0"/>
          <w:sz w:val="32"/>
          <w:szCs w:val="32"/>
        </w:rPr>
        <w:t>”</w:t>
      </w:r>
      <w:r>
        <w:rPr>
          <w:rFonts w:hAnsi="仿宋" w:eastAsia="仿宋" w:cs="华文仿宋"/>
          <w:kern w:val="0"/>
          <w:sz w:val="32"/>
          <w:szCs w:val="32"/>
        </w:rPr>
        <w:t>、</w:t>
      </w:r>
      <w:r>
        <w:rPr>
          <w:rFonts w:hint="eastAsia" w:eastAsia="仿宋" w:cs="华文仿宋"/>
          <w:kern w:val="0"/>
          <w:sz w:val="32"/>
          <w:szCs w:val="32"/>
        </w:rPr>
        <w:t>“</w:t>
      </w:r>
      <w:r>
        <w:rPr>
          <w:rFonts w:hAnsi="仿宋" w:eastAsia="仿宋" w:cs="华文仿宋"/>
          <w:kern w:val="0"/>
          <w:sz w:val="32"/>
          <w:szCs w:val="32"/>
        </w:rPr>
        <w:t>一号检察建议</w:t>
      </w:r>
      <w:r>
        <w:rPr>
          <w:rFonts w:hint="eastAsia" w:eastAsia="仿宋" w:cs="华文仿宋"/>
          <w:kern w:val="0"/>
          <w:sz w:val="32"/>
          <w:szCs w:val="32"/>
        </w:rPr>
        <w:t>”</w:t>
      </w:r>
      <w:r>
        <w:rPr>
          <w:rFonts w:hAnsi="仿宋" w:eastAsia="仿宋" w:cs="华文仿宋"/>
          <w:kern w:val="0"/>
          <w:sz w:val="32"/>
          <w:szCs w:val="32"/>
        </w:rPr>
        <w:t>落实等民生检察工作，用心解决人民群众的操心事、烦心事。推动扫黑除恶常态化，加大生态环境和食品药品领域案件办理力度，强化未成年人、老年人等特殊群体权益保护。</w:t>
      </w:r>
      <w:r>
        <w:rPr>
          <w:rFonts w:hAnsi="仿宋" w:eastAsia="仿宋" w:cs="华文仿宋"/>
          <w:sz w:val="32"/>
          <w:szCs w:val="32"/>
        </w:rPr>
        <w:t>坚持依法维护民营企业权益与促进守法合规经营并重</w:t>
      </w:r>
      <w:r>
        <w:rPr>
          <w:rFonts w:hAnsi="仿宋" w:eastAsia="仿宋" w:cs="华文仿宋"/>
          <w:kern w:val="0"/>
          <w:sz w:val="32"/>
          <w:szCs w:val="32"/>
        </w:rPr>
        <w:t>，</w:t>
      </w:r>
      <w:r>
        <w:rPr>
          <w:rFonts w:hAnsi="仿宋" w:eastAsia="仿宋" w:cs="华文仿宋"/>
          <w:sz w:val="32"/>
          <w:szCs w:val="32"/>
        </w:rPr>
        <w:t>持续深化服务民营经济具体举措，</w:t>
      </w:r>
      <w:r>
        <w:rPr>
          <w:rFonts w:hAnsi="仿宋" w:eastAsia="仿宋" w:cs="华文仿宋"/>
          <w:kern w:val="0"/>
          <w:sz w:val="32"/>
          <w:szCs w:val="32"/>
        </w:rPr>
        <w:t>当好护航民企健康发展的</w:t>
      </w:r>
      <w:r>
        <w:rPr>
          <w:rFonts w:hint="eastAsia" w:eastAsia="仿宋" w:cs="华文仿宋"/>
          <w:kern w:val="0"/>
          <w:sz w:val="32"/>
          <w:szCs w:val="32"/>
        </w:rPr>
        <w:t>“</w:t>
      </w:r>
      <w:r>
        <w:rPr>
          <w:rFonts w:hAnsi="仿宋" w:eastAsia="仿宋" w:cs="华文仿宋"/>
          <w:kern w:val="0"/>
          <w:sz w:val="32"/>
          <w:szCs w:val="32"/>
        </w:rPr>
        <w:t>老娘舅</w:t>
      </w:r>
      <w:r>
        <w:rPr>
          <w:rFonts w:hint="eastAsia" w:eastAsia="仿宋" w:cs="华文仿宋"/>
          <w:kern w:val="0"/>
          <w:sz w:val="32"/>
          <w:szCs w:val="32"/>
        </w:rPr>
        <w:t>”</w:t>
      </w:r>
      <w:r>
        <w:rPr>
          <w:rFonts w:hAnsi="仿宋" w:eastAsia="仿宋" w:cs="华文仿宋"/>
          <w:sz w:val="32"/>
          <w:szCs w:val="32"/>
        </w:rPr>
        <w:t>。</w:t>
      </w:r>
    </w:p>
    <w:p w14:paraId="54FC0C2B">
      <w:pPr>
        <w:spacing w:line="520" w:lineRule="exact"/>
        <w:ind w:firstLine="640"/>
        <w:rPr>
          <w:rFonts w:hint="eastAsia" w:ascii="仿宋_GB2312" w:hAnsi="黑体" w:eastAsia="仿宋_GB2312" w:cs="华文仿宋"/>
          <w:sz w:val="32"/>
          <w:szCs w:val="32"/>
        </w:rPr>
      </w:pPr>
      <w:r>
        <w:rPr>
          <w:rFonts w:hint="eastAsia" w:ascii="楷体" w:hAnsi="楷体" w:eastAsia="楷体" w:cs="华文仿宋"/>
          <w:sz w:val="32"/>
          <w:szCs w:val="32"/>
        </w:rPr>
        <w:t>三是以更高的检察自觉强化监督、守护正义。</w:t>
      </w:r>
      <w:r>
        <w:rPr>
          <w:rFonts w:hAnsi="仿宋" w:eastAsia="仿宋" w:cs="华文仿宋"/>
          <w:kern w:val="0"/>
          <w:sz w:val="32"/>
          <w:szCs w:val="32"/>
        </w:rPr>
        <w:t>聚焦法律监督主责主业，</w:t>
      </w:r>
      <w:r>
        <w:rPr>
          <w:rFonts w:hAnsi="仿宋" w:eastAsia="仿宋" w:cs="华文仿宋"/>
          <w:sz w:val="32"/>
          <w:szCs w:val="32"/>
        </w:rPr>
        <w:t>推进</w:t>
      </w:r>
      <w:r>
        <w:rPr>
          <w:rFonts w:hint="eastAsia" w:eastAsia="仿宋" w:cs="华文仿宋"/>
          <w:sz w:val="32"/>
          <w:szCs w:val="32"/>
        </w:rPr>
        <w:t>“</w:t>
      </w:r>
      <w:r>
        <w:rPr>
          <w:rFonts w:hAnsi="仿宋" w:eastAsia="仿宋" w:cs="华文仿宋"/>
          <w:sz w:val="32"/>
          <w:szCs w:val="32"/>
        </w:rPr>
        <w:t>四大检察</w:t>
      </w:r>
      <w:r>
        <w:rPr>
          <w:rFonts w:hint="eastAsia" w:eastAsia="仿宋" w:cs="华文仿宋"/>
          <w:sz w:val="32"/>
          <w:szCs w:val="32"/>
        </w:rPr>
        <w:t>”</w:t>
      </w:r>
      <w:r>
        <w:rPr>
          <w:rFonts w:hAnsi="仿宋" w:eastAsia="仿宋" w:cs="华文仿宋"/>
          <w:sz w:val="32"/>
          <w:szCs w:val="32"/>
        </w:rPr>
        <w:t>全面协调充分发展，深化与司法、执法、行政部门的沟通衔接，共同维护司法公正和法治权威。继续保持改革定力，</w:t>
      </w:r>
      <w:r>
        <w:rPr>
          <w:rFonts w:hAnsi="仿宋" w:eastAsia="仿宋" w:cs="华文仿宋"/>
          <w:kern w:val="0"/>
          <w:sz w:val="32"/>
          <w:szCs w:val="32"/>
        </w:rPr>
        <w:t>落实</w:t>
      </w:r>
      <w:r>
        <w:rPr>
          <w:rFonts w:eastAsia="仿宋" w:cs="华文仿宋"/>
          <w:kern w:val="0"/>
          <w:sz w:val="32"/>
          <w:szCs w:val="32"/>
        </w:rPr>
        <w:t>“</w:t>
      </w:r>
      <w:r>
        <w:rPr>
          <w:rFonts w:hAnsi="仿宋" w:eastAsia="仿宋" w:cs="华文仿宋"/>
          <w:kern w:val="0"/>
          <w:sz w:val="32"/>
          <w:szCs w:val="32"/>
        </w:rPr>
        <w:t>少捕慎诉慎押</w:t>
      </w:r>
      <w:r>
        <w:rPr>
          <w:rFonts w:eastAsia="仿宋" w:cs="华文仿宋"/>
          <w:kern w:val="0"/>
          <w:sz w:val="32"/>
          <w:szCs w:val="32"/>
        </w:rPr>
        <w:t>”</w:t>
      </w:r>
      <w:r>
        <w:rPr>
          <w:rFonts w:hAnsi="仿宋" w:eastAsia="仿宋" w:cs="华文仿宋"/>
          <w:kern w:val="0"/>
          <w:sz w:val="32"/>
          <w:szCs w:val="32"/>
        </w:rPr>
        <w:t>司法理念，</w:t>
      </w:r>
      <w:r>
        <w:rPr>
          <w:rFonts w:hAnsi="仿宋" w:eastAsia="仿宋" w:cs="华文仿宋"/>
          <w:color w:val="000000"/>
          <w:sz w:val="32"/>
          <w:szCs w:val="32"/>
        </w:rPr>
        <w:t>依法规范适用</w:t>
      </w:r>
      <w:r>
        <w:rPr>
          <w:rFonts w:hAnsi="仿宋" w:eastAsia="仿宋" w:cs="华文仿宋"/>
          <w:kern w:val="0"/>
          <w:sz w:val="32"/>
          <w:szCs w:val="32"/>
        </w:rPr>
        <w:t>认罪认罚从宽制度，进一步优化</w:t>
      </w:r>
      <w:r>
        <w:rPr>
          <w:rFonts w:hint="eastAsia" w:eastAsia="仿宋" w:cs="华文仿宋"/>
          <w:kern w:val="0"/>
          <w:sz w:val="32"/>
          <w:szCs w:val="32"/>
        </w:rPr>
        <w:t>“</w:t>
      </w:r>
      <w:r>
        <w:rPr>
          <w:rFonts w:hAnsi="仿宋" w:eastAsia="仿宋" w:cs="华文仿宋"/>
          <w:kern w:val="0"/>
          <w:sz w:val="32"/>
          <w:szCs w:val="32"/>
        </w:rPr>
        <w:t>案</w:t>
      </w:r>
      <w:r>
        <w:rPr>
          <w:rFonts w:eastAsia="仿宋" w:cs="华文仿宋"/>
          <w:kern w:val="0"/>
          <w:sz w:val="32"/>
          <w:szCs w:val="32"/>
        </w:rPr>
        <w:t>-</w:t>
      </w:r>
      <w:r>
        <w:rPr>
          <w:rFonts w:hAnsi="仿宋" w:eastAsia="仿宋" w:cs="华文仿宋"/>
          <w:kern w:val="0"/>
          <w:sz w:val="32"/>
          <w:szCs w:val="32"/>
        </w:rPr>
        <w:t>件比</w:t>
      </w:r>
      <w:r>
        <w:rPr>
          <w:rFonts w:hint="eastAsia" w:eastAsia="仿宋" w:cs="华文仿宋"/>
          <w:kern w:val="0"/>
          <w:sz w:val="32"/>
          <w:szCs w:val="32"/>
        </w:rPr>
        <w:t>”</w:t>
      </w:r>
      <w:r>
        <w:rPr>
          <w:rFonts w:hAnsi="仿宋" w:eastAsia="仿宋" w:cs="华文仿宋"/>
          <w:kern w:val="0"/>
          <w:sz w:val="32"/>
          <w:szCs w:val="32"/>
        </w:rPr>
        <w:t>，努力增强人民群众的司法获得感。依托信息化手段，拓展司法公开的内容和渠道，综合运用释法说理、</w:t>
      </w:r>
      <w:r>
        <w:rPr>
          <w:rFonts w:hAnsi="仿宋" w:eastAsia="仿宋" w:cs="华文仿宋"/>
          <w:sz w:val="32"/>
          <w:szCs w:val="32"/>
        </w:rPr>
        <w:t>公开听证等措施，让群众了解司法、参与司法、监督司法，使公平正义更加可触可感。</w:t>
      </w:r>
    </w:p>
    <w:p w14:paraId="64D1A6ED">
      <w:pPr>
        <w:spacing w:line="520" w:lineRule="exact"/>
        <w:ind w:firstLine="627" w:firstLineChars="196"/>
        <w:rPr>
          <w:rFonts w:ascii="Times New Roman" w:hAnsi="Times New Roman" w:eastAsia="仿宋_GB2312" w:cs="华文仿宋"/>
          <w:bCs/>
          <w:color w:val="000000" w:themeColor="text1"/>
          <w:sz w:val="32"/>
          <w:szCs w:val="32"/>
        </w:rPr>
      </w:pPr>
      <w:r>
        <w:rPr>
          <w:rFonts w:hint="eastAsia" w:ascii="楷体" w:hAnsi="楷体" w:eastAsia="楷体" w:cs="华文仿宋"/>
          <w:sz w:val="32"/>
          <w:szCs w:val="32"/>
        </w:rPr>
        <w:t>四是以更高的纪律自觉从严治检、规范司法。</w:t>
      </w:r>
      <w:r>
        <w:rPr>
          <w:rFonts w:hAnsi="仿宋" w:eastAsia="仿宋" w:cs="华文仿宋"/>
          <w:sz w:val="32"/>
          <w:szCs w:val="32"/>
        </w:rPr>
        <w:t>始终把政治建设摆在首位，</w:t>
      </w:r>
      <w:r>
        <w:rPr>
          <w:rFonts w:hint="eastAsia" w:hAnsi="仿宋" w:eastAsia="仿宋" w:cs="华文仿宋"/>
          <w:sz w:val="32"/>
          <w:szCs w:val="32"/>
        </w:rPr>
        <w:t>持续深入学习党的二十大精神</w:t>
      </w:r>
      <w:r>
        <w:rPr>
          <w:rFonts w:hAnsi="仿宋" w:eastAsia="仿宋" w:cs="华文仿宋"/>
          <w:sz w:val="32"/>
          <w:szCs w:val="32"/>
        </w:rPr>
        <w:t>，注重锤炼队伍和推进业务深度融合。进一步抓实基层基础建设，完善检察人员业绩评价办法和指标体系，用好考评结果，</w:t>
      </w:r>
      <w:r>
        <w:rPr>
          <w:rFonts w:hint="eastAsia" w:hAnsi="仿宋" w:eastAsia="仿宋" w:cs="华文仿宋"/>
          <w:sz w:val="32"/>
          <w:szCs w:val="32"/>
        </w:rPr>
        <w:t>激发干警干事创业、争先创优的动力</w:t>
      </w:r>
      <w:r>
        <w:rPr>
          <w:rFonts w:hAnsi="仿宋" w:eastAsia="仿宋" w:cs="华文仿宋"/>
          <w:sz w:val="32"/>
          <w:szCs w:val="32"/>
        </w:rPr>
        <w:t>。扎实推进专业化办案团队建设，为检察事业发展培育</w:t>
      </w:r>
      <w:r>
        <w:rPr>
          <w:rFonts w:hint="eastAsia" w:eastAsia="仿宋" w:cs="华文仿宋"/>
          <w:sz w:val="32"/>
          <w:szCs w:val="32"/>
        </w:rPr>
        <w:t>“</w:t>
      </w:r>
      <w:r>
        <w:rPr>
          <w:rFonts w:hAnsi="仿宋" w:eastAsia="仿宋" w:cs="华文仿宋"/>
          <w:sz w:val="32"/>
          <w:szCs w:val="32"/>
        </w:rPr>
        <w:t>大师</w:t>
      </w:r>
      <w:r>
        <w:rPr>
          <w:rFonts w:hint="eastAsia" w:eastAsia="仿宋" w:cs="华文仿宋"/>
          <w:sz w:val="32"/>
          <w:szCs w:val="32"/>
        </w:rPr>
        <w:t>”“</w:t>
      </w:r>
      <w:r>
        <w:rPr>
          <w:rFonts w:hAnsi="仿宋" w:eastAsia="仿宋" w:cs="华文仿宋"/>
          <w:sz w:val="32"/>
          <w:szCs w:val="32"/>
        </w:rPr>
        <w:t>工匠</w:t>
      </w:r>
      <w:r>
        <w:rPr>
          <w:rFonts w:hint="eastAsia" w:eastAsia="仿宋" w:cs="华文仿宋"/>
          <w:sz w:val="32"/>
          <w:szCs w:val="32"/>
        </w:rPr>
        <w:t>”</w:t>
      </w:r>
      <w:r>
        <w:rPr>
          <w:rFonts w:hAnsi="仿宋" w:eastAsia="仿宋" w:cs="华文仿宋"/>
          <w:sz w:val="32"/>
          <w:szCs w:val="32"/>
        </w:rPr>
        <w:t>。</w:t>
      </w:r>
      <w:r>
        <w:rPr>
          <w:rFonts w:hint="eastAsia" w:hAnsi="仿宋" w:eastAsia="仿宋" w:cs="华文仿宋"/>
          <w:kern w:val="0"/>
          <w:sz w:val="32"/>
          <w:szCs w:val="32"/>
        </w:rPr>
        <w:t>巩固</w:t>
      </w:r>
      <w:r>
        <w:rPr>
          <w:rFonts w:hAnsi="仿宋" w:eastAsia="仿宋" w:cs="华文仿宋"/>
          <w:kern w:val="0"/>
          <w:sz w:val="32"/>
          <w:szCs w:val="32"/>
        </w:rPr>
        <w:t>政法队伍教育整顿</w:t>
      </w:r>
      <w:r>
        <w:rPr>
          <w:rFonts w:hint="eastAsia" w:hAnsi="仿宋" w:eastAsia="仿宋" w:cs="华文仿宋"/>
          <w:kern w:val="0"/>
          <w:sz w:val="32"/>
          <w:szCs w:val="32"/>
        </w:rPr>
        <w:t>成果</w:t>
      </w:r>
      <w:r>
        <w:rPr>
          <w:rFonts w:hAnsi="仿宋" w:eastAsia="仿宋" w:cs="华文仿宋"/>
          <w:kern w:val="0"/>
          <w:sz w:val="32"/>
          <w:szCs w:val="32"/>
        </w:rPr>
        <w:t>，</w:t>
      </w:r>
      <w:r>
        <w:rPr>
          <w:rFonts w:hAnsi="仿宋" w:eastAsia="仿宋" w:cs="华文仿宋"/>
          <w:sz w:val="32"/>
          <w:szCs w:val="32"/>
        </w:rPr>
        <w:t>以永远在路上的要求狠抓全面从严治检</w:t>
      </w:r>
      <w:r>
        <w:rPr>
          <w:rFonts w:hAnsi="仿宋" w:eastAsia="仿宋" w:cs="华文仿宋"/>
          <w:kern w:val="0"/>
          <w:sz w:val="32"/>
          <w:szCs w:val="32"/>
        </w:rPr>
        <w:t>，努力建设一支纪律严明、本领过硬、作风优良的新时代检察铁军。</w:t>
      </w:r>
    </w:p>
    <w:p w14:paraId="6B4F0888">
      <w:pPr>
        <w:spacing w:line="560" w:lineRule="exact"/>
        <w:jc w:val="center"/>
        <w:rPr>
          <w:rFonts w:ascii="Times New Roman" w:hAnsi="Times New Roman" w:eastAsia="黑体"/>
          <w:color w:val="000000" w:themeColor="text1"/>
          <w:sz w:val="36"/>
          <w:szCs w:val="36"/>
        </w:rPr>
      </w:pPr>
      <w:r>
        <w:rPr>
          <w:rFonts w:ascii="Times New Roman" w:hAnsi="Times New Roman" w:eastAsia="黑体"/>
          <w:color w:val="000000" w:themeColor="text1"/>
          <w:sz w:val="36"/>
          <w:szCs w:val="36"/>
        </w:rPr>
        <w:t xml:space="preserve">第二部分  </w:t>
      </w:r>
      <w:r>
        <w:rPr>
          <w:rFonts w:hint="eastAsia" w:ascii="Times New Roman" w:hAnsi="Times New Roman" w:eastAsia="黑体"/>
          <w:color w:val="000000" w:themeColor="text1"/>
          <w:sz w:val="36"/>
          <w:szCs w:val="36"/>
        </w:rPr>
        <w:t>2023年</w:t>
      </w:r>
      <w:r>
        <w:rPr>
          <w:rFonts w:hint="eastAsia" w:ascii="Times New Roman" w:hAnsi="Times New Roman" w:eastAsia="黑体"/>
          <w:color w:val="000000" w:themeColor="text1"/>
          <w:sz w:val="36"/>
          <w:szCs w:val="36"/>
          <w:u w:val="none"/>
        </w:rPr>
        <w:t>部门</w:t>
      </w:r>
      <w:r>
        <w:rPr>
          <w:rFonts w:ascii="Times New Roman" w:hAnsi="Times New Roman" w:eastAsia="黑体"/>
          <w:color w:val="000000" w:themeColor="text1"/>
          <w:sz w:val="36"/>
          <w:szCs w:val="36"/>
        </w:rPr>
        <w:t>预算表</w:t>
      </w:r>
    </w:p>
    <w:p w14:paraId="56DAB049">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预算表由以下1</w:t>
      </w:r>
      <w:r>
        <w:rPr>
          <w:rFonts w:hint="eastAsia"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rPr>
        <w:t>张表格构成，具体表格内容见</w:t>
      </w:r>
      <w:r>
        <w:rPr>
          <w:rFonts w:hint="eastAsia" w:ascii="Times New Roman" w:hAnsi="Times New Roman" w:eastAsia="仿宋_GB2312"/>
          <w:color w:val="000000" w:themeColor="text1"/>
          <w:sz w:val="32"/>
          <w:szCs w:val="32"/>
        </w:rPr>
        <w:t>附件</w:t>
      </w:r>
      <w:r>
        <w:rPr>
          <w:rFonts w:ascii="Times New Roman" w:hAnsi="Times New Roman" w:eastAsia="仿宋_GB2312"/>
          <w:color w:val="000000" w:themeColor="text1"/>
          <w:sz w:val="32"/>
          <w:szCs w:val="32"/>
        </w:rPr>
        <w:t>。</w:t>
      </w:r>
    </w:p>
    <w:p w14:paraId="271A32B0">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收支总表（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w:t>
      </w:r>
    </w:p>
    <w:p w14:paraId="56BEB1F6">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2.</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收入总表（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2）</w:t>
      </w:r>
    </w:p>
    <w:p w14:paraId="1306BB6F">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3.</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支出总表（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3）</w:t>
      </w:r>
    </w:p>
    <w:p w14:paraId="73A788FC">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4.</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财政拨款收支总表（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4）</w:t>
      </w:r>
    </w:p>
    <w:p w14:paraId="49BE4479">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5.</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一般公共预算支出表（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5）</w:t>
      </w:r>
    </w:p>
    <w:p w14:paraId="27921113">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6.</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一般公共预算基本支出表（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6）</w:t>
      </w:r>
    </w:p>
    <w:p w14:paraId="1F02CC03">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7.</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政府性基金预算支出表（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7）</w:t>
      </w:r>
    </w:p>
    <w:p w14:paraId="25D304CD">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8.</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国有资本经营预算支出表（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8）</w:t>
      </w:r>
    </w:p>
    <w:p w14:paraId="5FF629D6">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9.</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基本支出总表（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9）</w:t>
      </w:r>
    </w:p>
    <w:p w14:paraId="649C20E0">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10.</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2023年项目</w:t>
      </w:r>
      <w:r>
        <w:rPr>
          <w:rFonts w:ascii="Times New Roman" w:hAnsi="Times New Roman" w:eastAsia="仿宋_GB2312"/>
          <w:color w:val="000000" w:themeColor="text1"/>
          <w:sz w:val="32"/>
          <w:szCs w:val="32"/>
        </w:rPr>
        <w:t>支出总表（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10）</w:t>
      </w:r>
    </w:p>
    <w:p w14:paraId="6799AD13">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11.</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政府采购支出表（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11）</w:t>
      </w:r>
    </w:p>
    <w:p w14:paraId="08377F2B">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12.</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政府购买服务支出表（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12）</w:t>
      </w:r>
    </w:p>
    <w:p w14:paraId="6CAA0FC4">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3</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“三公”经费支出预算表（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3</w:t>
      </w:r>
      <w:r>
        <w:rPr>
          <w:rFonts w:ascii="Times New Roman" w:hAnsi="Times New Roman" w:eastAsia="仿宋_GB2312"/>
          <w:color w:val="000000" w:themeColor="text1"/>
          <w:sz w:val="32"/>
          <w:szCs w:val="32"/>
        </w:rPr>
        <w:t>）</w:t>
      </w:r>
    </w:p>
    <w:p w14:paraId="6732155C">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项目支出绩效目标表（</w:t>
      </w:r>
      <w:r>
        <w:rPr>
          <w:rFonts w:hint="eastAsia" w:ascii="Times New Roman" w:hAnsi="Times New Roman" w:eastAsia="仿宋_GB2312"/>
          <w:color w:val="000000" w:themeColor="text1"/>
          <w:sz w:val="32"/>
          <w:szCs w:val="32"/>
        </w:rPr>
        <w:t>附件表</w:t>
      </w: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rPr>
        <w:t>）</w:t>
      </w:r>
    </w:p>
    <w:p w14:paraId="37A55339">
      <w:pPr>
        <w:spacing w:line="560" w:lineRule="exact"/>
        <w:jc w:val="center"/>
        <w:rPr>
          <w:rFonts w:ascii="Times New Roman" w:hAnsi="Times New Roman" w:eastAsia="黑体"/>
          <w:color w:val="000000" w:themeColor="text1"/>
          <w:sz w:val="36"/>
          <w:szCs w:val="36"/>
        </w:rPr>
      </w:pPr>
    </w:p>
    <w:p w14:paraId="76B58B10">
      <w:pPr>
        <w:numPr>
          <w:ilvl w:val="0"/>
          <w:numId w:val="3"/>
        </w:numPr>
        <w:spacing w:line="560" w:lineRule="exact"/>
        <w:jc w:val="center"/>
        <w:rPr>
          <w:rFonts w:ascii="Times New Roman" w:hAnsi="Times New Roman" w:eastAsia="黑体"/>
          <w:color w:val="000000" w:themeColor="text1"/>
          <w:sz w:val="36"/>
          <w:szCs w:val="36"/>
        </w:rPr>
      </w:pPr>
      <w:r>
        <w:rPr>
          <w:rFonts w:hint="eastAsia" w:ascii="Times New Roman" w:hAnsi="Times New Roman" w:eastAsia="黑体"/>
          <w:color w:val="000000" w:themeColor="text1"/>
          <w:sz w:val="36"/>
          <w:szCs w:val="36"/>
        </w:rPr>
        <w:t>2023年</w:t>
      </w:r>
      <w:r>
        <w:rPr>
          <w:rFonts w:hint="eastAsia" w:ascii="Times New Roman" w:hAnsi="Times New Roman" w:eastAsia="黑体"/>
          <w:color w:val="000000" w:themeColor="text1"/>
          <w:sz w:val="36"/>
          <w:szCs w:val="36"/>
          <w:u w:val="none"/>
        </w:rPr>
        <w:t>部门</w:t>
      </w:r>
      <w:r>
        <w:rPr>
          <w:rFonts w:ascii="Times New Roman" w:hAnsi="Times New Roman" w:eastAsia="黑体"/>
          <w:color w:val="000000" w:themeColor="text1"/>
          <w:sz w:val="36"/>
          <w:szCs w:val="36"/>
        </w:rPr>
        <w:t>预算情况说明</w:t>
      </w:r>
    </w:p>
    <w:p w14:paraId="1A4FA178">
      <w:pPr>
        <w:spacing w:line="560" w:lineRule="exact"/>
        <w:rPr>
          <w:rFonts w:ascii="Times New Roman" w:hAnsi="Times New Roman" w:eastAsia="黑体"/>
          <w:color w:val="000000" w:themeColor="text1"/>
          <w:sz w:val="36"/>
          <w:szCs w:val="36"/>
        </w:rPr>
      </w:pPr>
    </w:p>
    <w:p w14:paraId="49D53C85">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一</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收支</w:t>
      </w:r>
      <w:r>
        <w:rPr>
          <w:rFonts w:hint="eastAsia" w:ascii="Times New Roman" w:hAnsi="Times New Roman" w:eastAsia="黑体"/>
          <w:color w:val="000000" w:themeColor="text1"/>
          <w:sz w:val="32"/>
          <w:szCs w:val="32"/>
        </w:rPr>
        <w:t>总表的</w:t>
      </w:r>
      <w:r>
        <w:rPr>
          <w:rFonts w:ascii="Times New Roman" w:hAnsi="Times New Roman" w:eastAsia="黑体"/>
          <w:color w:val="000000" w:themeColor="text1"/>
          <w:sz w:val="32"/>
          <w:szCs w:val="32"/>
        </w:rPr>
        <w:t>说明</w:t>
      </w:r>
    </w:p>
    <w:p w14:paraId="22196D56">
      <w:pPr>
        <w:spacing w:line="560" w:lineRule="exact"/>
        <w:ind w:firstLine="640" w:firstLineChars="200"/>
        <w:rPr>
          <w:rFonts w:hint="default" w:ascii="Times New Roman" w:hAnsi="Times New Roman" w:eastAsia="仿宋_GB2312"/>
          <w:color w:val="000000" w:themeColor="text1"/>
          <w:sz w:val="32"/>
          <w:szCs w:val="32"/>
          <w:lang w:val="en-US" w:eastAsia="zh-CN"/>
        </w:rPr>
      </w:pPr>
      <w:r>
        <w:rPr>
          <w:rFonts w:ascii="Times New Roman" w:hAnsi="Times New Roman" w:eastAsia="仿宋_GB2312"/>
          <w:color w:val="000000" w:themeColor="text1"/>
          <w:sz w:val="32"/>
          <w:szCs w:val="32"/>
        </w:rPr>
        <w:t>按照综合预算</w:t>
      </w:r>
      <w:r>
        <w:rPr>
          <w:rFonts w:hint="eastAsia" w:ascii="Times New Roman" w:hAnsi="Times New Roman" w:eastAsia="仿宋_GB2312"/>
          <w:color w:val="000000" w:themeColor="text1"/>
          <w:sz w:val="32"/>
          <w:szCs w:val="32"/>
        </w:rPr>
        <w:t>的</w:t>
      </w:r>
      <w:r>
        <w:rPr>
          <w:rFonts w:ascii="Times New Roman" w:hAnsi="Times New Roman" w:eastAsia="仿宋_GB2312"/>
          <w:color w:val="000000" w:themeColor="text1"/>
          <w:sz w:val="32"/>
          <w:szCs w:val="32"/>
        </w:rPr>
        <w:t>原则，</w:t>
      </w:r>
      <w:r>
        <w:rPr>
          <w:rFonts w:hint="eastAsia" w:ascii="Times New Roman" w:hAnsi="Times New Roman" w:eastAsia="仿宋_GB2312"/>
          <w:color w:val="000000" w:themeColor="text1"/>
          <w:sz w:val="32"/>
          <w:szCs w:val="32"/>
          <w:lang w:eastAsia="zh-CN"/>
        </w:rPr>
        <w:t>霍山县人民检察院</w:t>
      </w:r>
      <w:r>
        <w:rPr>
          <w:rFonts w:ascii="Times New Roman" w:hAnsi="Times New Roman" w:eastAsia="仿宋_GB2312"/>
          <w:color w:val="000000" w:themeColor="text1"/>
          <w:sz w:val="32"/>
          <w:szCs w:val="32"/>
        </w:rPr>
        <w:t>所有收入和支出均纳入</w:t>
      </w:r>
      <w:r>
        <w:rPr>
          <w:rFonts w:hint="eastAsia" w:ascii="Times New Roman" w:hAnsi="Times New Roman" w:eastAsia="仿宋_GB2312"/>
          <w:color w:val="000000" w:themeColor="text1"/>
          <w:sz w:val="32"/>
          <w:szCs w:val="32"/>
          <w:u w:val="none"/>
        </w:rPr>
        <w:t>部门</w:t>
      </w:r>
      <w:r>
        <w:rPr>
          <w:rFonts w:ascii="Times New Roman" w:hAnsi="Times New Roman" w:eastAsia="仿宋_GB2312"/>
          <w:color w:val="000000" w:themeColor="text1"/>
          <w:sz w:val="32"/>
          <w:szCs w:val="32"/>
        </w:rPr>
        <w:t>预算管理。</w:t>
      </w: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收支总预算</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万元，收入</w:t>
      </w:r>
      <w:r>
        <w:rPr>
          <w:rFonts w:hint="eastAsia" w:ascii="Times New Roman" w:hAnsi="Times New Roman" w:eastAsia="仿宋_GB2312"/>
          <w:color w:val="000000" w:themeColor="text1"/>
          <w:sz w:val="32"/>
          <w:szCs w:val="32"/>
          <w:lang w:eastAsia="zh-CN"/>
        </w:rPr>
        <w:t>全部为</w:t>
      </w:r>
      <w:r>
        <w:rPr>
          <w:rFonts w:ascii="Times New Roman" w:hAnsi="Times New Roman" w:eastAsia="仿宋_GB2312"/>
          <w:color w:val="000000" w:themeColor="text1"/>
          <w:sz w:val="32"/>
          <w:szCs w:val="32"/>
        </w:rPr>
        <w:t>一般公共预算拨款收</w:t>
      </w:r>
      <w:r>
        <w:rPr>
          <w:rFonts w:hint="eastAsia" w:ascii="Times New Roman" w:hAnsi="Times New Roman" w:eastAsia="仿宋_GB2312"/>
          <w:color w:val="000000" w:themeColor="text1"/>
          <w:sz w:val="32"/>
          <w:szCs w:val="32"/>
          <w:lang w:eastAsia="zh-CN"/>
        </w:rPr>
        <w:t>入，</w:t>
      </w:r>
      <w:r>
        <w:rPr>
          <w:rFonts w:hint="eastAsia" w:ascii="Times New Roman" w:hAnsi="Times New Roman" w:eastAsia="仿宋_GB2312"/>
          <w:color w:val="000000" w:themeColor="text1"/>
          <w:sz w:val="32"/>
          <w:szCs w:val="32"/>
          <w:lang w:val="en-US" w:eastAsia="zh-CN"/>
        </w:rPr>
        <w:t>支出包括公共安全支出、社会保障和就业支出、卫生健康支出、住房保障支出。</w:t>
      </w:r>
    </w:p>
    <w:p w14:paraId="40E4F7E5">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支出</w:t>
      </w:r>
      <w:r>
        <w:rPr>
          <w:rFonts w:hint="eastAsia" w:ascii="Times New Roman" w:hAnsi="Times New Roman" w:eastAsia="仿宋_GB2312"/>
          <w:color w:val="000000" w:themeColor="text1"/>
          <w:sz w:val="32"/>
          <w:szCs w:val="32"/>
          <w:lang w:eastAsia="zh-CN"/>
        </w:rPr>
        <w:t>按功能分类</w:t>
      </w:r>
      <w:r>
        <w:rPr>
          <w:rFonts w:ascii="Times New Roman" w:hAnsi="Times New Roman" w:eastAsia="仿宋_GB2312"/>
          <w:color w:val="000000" w:themeColor="text1"/>
          <w:sz w:val="32"/>
          <w:szCs w:val="32"/>
        </w:rPr>
        <w:t>包括</w:t>
      </w:r>
      <w:r>
        <w:rPr>
          <w:rFonts w:hint="eastAsia" w:ascii="Times New Roman" w:hAnsi="Times New Roman" w:eastAsia="仿宋_GB2312"/>
          <w:color w:val="000000" w:themeColor="text1"/>
          <w:sz w:val="32"/>
          <w:szCs w:val="32"/>
          <w:lang w:eastAsia="zh-CN"/>
        </w:rPr>
        <w:t>公共安全支出</w:t>
      </w:r>
      <w:r>
        <w:rPr>
          <w:rFonts w:hint="eastAsia" w:ascii="Times New Roman" w:hAnsi="Times New Roman" w:eastAsia="仿宋_GB2312"/>
          <w:color w:val="000000" w:themeColor="text1"/>
          <w:sz w:val="32"/>
          <w:szCs w:val="32"/>
          <w:lang w:val="en-US" w:eastAsia="zh-CN"/>
        </w:rPr>
        <w:t>855.79万元</w:t>
      </w:r>
      <w:r>
        <w:rPr>
          <w:rFonts w:ascii="Times New Roman" w:hAnsi="Times New Roman" w:eastAsia="仿宋_GB2312"/>
          <w:color w:val="000000" w:themeColor="text1"/>
          <w:sz w:val="32"/>
          <w:szCs w:val="32"/>
        </w:rPr>
        <w:t>、社会保障和就业支出</w:t>
      </w:r>
      <w:r>
        <w:rPr>
          <w:rFonts w:hint="eastAsia" w:ascii="Times New Roman" w:hAnsi="Times New Roman" w:eastAsia="仿宋_GB2312"/>
          <w:color w:val="000000" w:themeColor="text1"/>
          <w:sz w:val="32"/>
          <w:szCs w:val="32"/>
          <w:lang w:val="en-US" w:eastAsia="zh-CN"/>
        </w:rPr>
        <w:t>149.90万元</w:t>
      </w:r>
      <w:r>
        <w:rPr>
          <w:rFonts w:ascii="Times New Roman" w:hAnsi="Times New Roman" w:eastAsia="仿宋_GB2312"/>
          <w:color w:val="000000" w:themeColor="text1"/>
          <w:sz w:val="32"/>
          <w:szCs w:val="32"/>
        </w:rPr>
        <w:t>、卫生健康支出</w:t>
      </w:r>
      <w:r>
        <w:rPr>
          <w:rFonts w:hint="eastAsia" w:ascii="Times New Roman" w:hAnsi="Times New Roman" w:eastAsia="仿宋_GB2312"/>
          <w:color w:val="000000" w:themeColor="text1"/>
          <w:sz w:val="32"/>
          <w:szCs w:val="32"/>
          <w:lang w:val="en-US" w:eastAsia="zh-CN"/>
        </w:rPr>
        <w:t>33.84万元</w:t>
      </w:r>
      <w:r>
        <w:rPr>
          <w:rFonts w:ascii="Times New Roman" w:hAnsi="Times New Roman" w:eastAsia="仿宋_GB2312"/>
          <w:color w:val="000000" w:themeColor="text1"/>
          <w:sz w:val="32"/>
          <w:szCs w:val="32"/>
        </w:rPr>
        <w:t>、住房保障支出</w:t>
      </w:r>
      <w:r>
        <w:rPr>
          <w:rFonts w:hint="eastAsia" w:ascii="Times New Roman" w:hAnsi="Times New Roman" w:eastAsia="仿宋_GB2312"/>
          <w:color w:val="000000" w:themeColor="text1"/>
          <w:sz w:val="32"/>
          <w:szCs w:val="32"/>
          <w:lang w:val="en-US" w:eastAsia="zh-CN"/>
        </w:rPr>
        <w:t>74.86万元</w:t>
      </w:r>
      <w:r>
        <w:rPr>
          <w:rFonts w:ascii="Times New Roman" w:hAnsi="Times New Roman" w:eastAsia="仿宋_GB2312"/>
          <w:color w:val="000000" w:themeColor="text1"/>
          <w:sz w:val="32"/>
          <w:szCs w:val="32"/>
        </w:rPr>
        <w:t>。</w:t>
      </w:r>
    </w:p>
    <w:p w14:paraId="0D09F918">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二</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收入</w:t>
      </w:r>
      <w:r>
        <w:rPr>
          <w:rFonts w:hint="eastAsia" w:ascii="Times New Roman" w:hAnsi="Times New Roman" w:eastAsia="黑体"/>
          <w:color w:val="000000" w:themeColor="text1"/>
          <w:sz w:val="32"/>
          <w:szCs w:val="32"/>
        </w:rPr>
        <w:t>总表的</w:t>
      </w:r>
      <w:r>
        <w:rPr>
          <w:rFonts w:ascii="Times New Roman" w:hAnsi="Times New Roman" w:eastAsia="黑体"/>
          <w:color w:val="000000" w:themeColor="text1"/>
          <w:sz w:val="32"/>
          <w:szCs w:val="32"/>
        </w:rPr>
        <w:t>说明</w:t>
      </w:r>
    </w:p>
    <w:p w14:paraId="65495432">
      <w:pPr>
        <w:adjustRightInd w:val="0"/>
        <w:snapToGrid w:val="0"/>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lang w:val="en-US" w:eastAsia="zh-CN"/>
        </w:rPr>
        <w:t>2</w:t>
      </w:r>
      <w:r>
        <w:rPr>
          <w:rFonts w:hint="eastAsia" w:ascii="Times New Roman" w:hAnsi="Times New Roman" w:eastAsia="仿宋_GB2312"/>
          <w:color w:val="000000" w:themeColor="text1"/>
          <w:sz w:val="32"/>
          <w:szCs w:val="32"/>
        </w:rPr>
        <w:t>023年</w:t>
      </w:r>
      <w:r>
        <w:rPr>
          <w:rFonts w:ascii="Times New Roman" w:hAnsi="Times New Roman" w:eastAsia="仿宋_GB2312"/>
          <w:color w:val="000000" w:themeColor="text1"/>
          <w:sz w:val="32"/>
          <w:szCs w:val="32"/>
        </w:rPr>
        <w:t>收入预算</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万元，其中：一般公共预算拨款收入</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万元，占</w:t>
      </w:r>
      <w:r>
        <w:rPr>
          <w:rFonts w:hint="eastAsia" w:ascii="Times New Roman" w:hAnsi="Times New Roman" w:eastAsia="仿宋_GB2312"/>
          <w:color w:val="000000" w:themeColor="text1"/>
          <w:sz w:val="32"/>
          <w:szCs w:val="32"/>
          <w:lang w:val="en-US" w:eastAsia="zh-CN"/>
        </w:rPr>
        <w:t>100</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32.34</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2.99</w:t>
      </w:r>
      <w:r>
        <w:rPr>
          <w:rFonts w:ascii="Times New Roman" w:hAnsi="Times New Roman" w:eastAsia="仿宋_GB2312"/>
          <w:color w:val="000000" w:themeColor="text1"/>
          <w:sz w:val="32"/>
          <w:szCs w:val="32"/>
        </w:rPr>
        <w:t>%，增长原因主要</w:t>
      </w:r>
      <w:r>
        <w:rPr>
          <w:rFonts w:hint="eastAsia" w:ascii="Times New Roman" w:hAnsi="Times New Roman" w:eastAsia="仿宋_GB2312"/>
          <w:color w:val="000000" w:themeColor="text1"/>
          <w:sz w:val="32"/>
          <w:szCs w:val="32"/>
          <w:lang w:eastAsia="zh-CN"/>
        </w:rPr>
        <w:t>是上年绩效工资</w:t>
      </w:r>
      <w:r>
        <w:rPr>
          <w:rFonts w:hint="eastAsia" w:ascii="Times New Roman" w:hAnsi="Times New Roman" w:eastAsia="仿宋_GB2312"/>
          <w:color w:val="000000" w:themeColor="text1"/>
          <w:sz w:val="32"/>
          <w:szCs w:val="32"/>
          <w:lang w:val="en-US" w:eastAsia="zh-CN"/>
        </w:rPr>
        <w:t>60%部分结转到今年预算。</w:t>
      </w:r>
    </w:p>
    <w:p w14:paraId="22842EBD">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三</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支出</w:t>
      </w:r>
      <w:r>
        <w:rPr>
          <w:rFonts w:hint="eastAsia" w:ascii="Times New Roman" w:hAnsi="Times New Roman" w:eastAsia="黑体"/>
          <w:color w:val="000000" w:themeColor="text1"/>
          <w:sz w:val="32"/>
          <w:szCs w:val="32"/>
        </w:rPr>
        <w:t>总表的</w:t>
      </w:r>
      <w:r>
        <w:rPr>
          <w:rFonts w:ascii="Times New Roman" w:hAnsi="Times New Roman" w:eastAsia="黑体"/>
          <w:color w:val="000000" w:themeColor="text1"/>
          <w:sz w:val="32"/>
          <w:szCs w:val="32"/>
        </w:rPr>
        <w:t>说明</w:t>
      </w:r>
    </w:p>
    <w:p w14:paraId="3D50876C">
      <w:pPr>
        <w:spacing w:line="560" w:lineRule="exact"/>
        <w:ind w:firstLine="640" w:firstLineChars="200"/>
        <w:jc w:val="left"/>
        <w:rPr>
          <w:rFonts w:hint="default" w:ascii="Times New Roman" w:hAnsi="Times New Roman" w:eastAsia="仿宋_GB2312" w:cs="Times New Roman"/>
          <w:color w:val="000000" w:themeColor="text1"/>
          <w:sz w:val="32"/>
          <w:szCs w:val="32"/>
          <w:lang w:val="en-US" w:eastAsia="zh-CN"/>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32.34</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2.99</w:t>
      </w:r>
      <w:r>
        <w:rPr>
          <w:rFonts w:ascii="Times New Roman" w:hAnsi="Times New Roman" w:eastAsia="仿宋_GB2312"/>
          <w:color w:val="000000" w:themeColor="text1"/>
          <w:sz w:val="32"/>
          <w:szCs w:val="32"/>
        </w:rPr>
        <w:t>%，增长原因主要</w:t>
      </w:r>
      <w:r>
        <w:rPr>
          <w:rFonts w:hint="eastAsia" w:ascii="Times New Roman" w:hAnsi="Times New Roman" w:eastAsia="仿宋_GB2312"/>
          <w:color w:val="000000" w:themeColor="text1"/>
          <w:sz w:val="32"/>
          <w:szCs w:val="32"/>
          <w:lang w:eastAsia="zh-CN"/>
        </w:rPr>
        <w:t>是上年绩效工资</w:t>
      </w:r>
      <w:r>
        <w:rPr>
          <w:rFonts w:hint="eastAsia" w:ascii="Times New Roman" w:hAnsi="Times New Roman" w:eastAsia="仿宋_GB2312"/>
          <w:color w:val="000000" w:themeColor="text1"/>
          <w:sz w:val="32"/>
          <w:szCs w:val="32"/>
          <w:lang w:val="en-US" w:eastAsia="zh-CN"/>
        </w:rPr>
        <w:t>60%部分结转到今年预算。其中，</w:t>
      </w:r>
      <w:r>
        <w:rPr>
          <w:rFonts w:hint="default" w:ascii="Times New Roman" w:hAnsi="Times New Roman" w:eastAsia="仿宋_GB2312" w:cs="Times New Roman"/>
          <w:color w:val="000000" w:themeColor="text1"/>
          <w:sz w:val="32"/>
          <w:szCs w:val="32"/>
        </w:rPr>
        <w:t>基本支出</w:t>
      </w:r>
      <w:r>
        <w:rPr>
          <w:rFonts w:hint="eastAsia" w:ascii="Times New Roman" w:hAnsi="Times New Roman" w:eastAsia="仿宋_GB2312" w:cs="Times New Roman"/>
          <w:color w:val="000000" w:themeColor="text1"/>
          <w:sz w:val="32"/>
          <w:szCs w:val="32"/>
          <w:lang w:val="en-US" w:eastAsia="zh-CN"/>
        </w:rPr>
        <w:t>1076.97</w:t>
      </w:r>
      <w:r>
        <w:rPr>
          <w:rFonts w:hint="default" w:ascii="Times New Roman" w:hAnsi="Times New Roman" w:eastAsia="仿宋_GB2312" w:cs="Times New Roman"/>
          <w:color w:val="000000" w:themeColor="text1"/>
          <w:sz w:val="32"/>
          <w:szCs w:val="32"/>
        </w:rPr>
        <w:t>万元，占</w:t>
      </w:r>
      <w:r>
        <w:rPr>
          <w:rFonts w:hint="eastAsia" w:ascii="Times New Roman" w:hAnsi="Times New Roman" w:eastAsia="仿宋_GB2312" w:cs="Times New Roman"/>
          <w:color w:val="000000" w:themeColor="text1"/>
          <w:sz w:val="32"/>
          <w:szCs w:val="32"/>
          <w:lang w:val="en-US" w:eastAsia="zh-CN"/>
        </w:rPr>
        <w:t>96.64</w:t>
      </w:r>
      <w:r>
        <w:rPr>
          <w:rFonts w:hint="default" w:ascii="Times New Roman" w:hAnsi="Times New Roman" w:eastAsia="仿宋_GB2312" w:cs="Times New Roman"/>
          <w:color w:val="000000" w:themeColor="text1"/>
          <w:sz w:val="32"/>
          <w:szCs w:val="32"/>
        </w:rPr>
        <w:t>%，主要用于保障机构日常运转、完成日常工作任务等；项目支出</w:t>
      </w:r>
      <w:r>
        <w:rPr>
          <w:rFonts w:hint="eastAsia" w:ascii="Times New Roman" w:hAnsi="Times New Roman" w:eastAsia="仿宋_GB2312" w:cs="Times New Roman"/>
          <w:color w:val="000000" w:themeColor="text1"/>
          <w:sz w:val="32"/>
          <w:szCs w:val="32"/>
          <w:lang w:val="en-US" w:eastAsia="zh-CN"/>
        </w:rPr>
        <w:t>37.41</w:t>
      </w:r>
      <w:r>
        <w:rPr>
          <w:rFonts w:hint="default" w:ascii="Times New Roman" w:hAnsi="Times New Roman" w:eastAsia="仿宋_GB2312" w:cs="Times New Roman"/>
          <w:color w:val="000000" w:themeColor="text1"/>
          <w:sz w:val="32"/>
          <w:szCs w:val="32"/>
        </w:rPr>
        <w:t>万元，占</w:t>
      </w:r>
      <w:r>
        <w:rPr>
          <w:rFonts w:hint="eastAsia" w:ascii="Times New Roman" w:hAnsi="Times New Roman" w:eastAsia="仿宋_GB2312" w:cs="Times New Roman"/>
          <w:color w:val="000000" w:themeColor="text1"/>
          <w:sz w:val="32"/>
          <w:szCs w:val="32"/>
          <w:lang w:val="en-US" w:eastAsia="zh-CN"/>
        </w:rPr>
        <w:t>3.36</w:t>
      </w:r>
      <w:r>
        <w:rPr>
          <w:rFonts w:hint="default" w:ascii="Times New Roman" w:hAnsi="Times New Roman" w:eastAsia="仿宋_GB2312" w:cs="Times New Roman"/>
          <w:color w:val="000000" w:themeColor="text1"/>
          <w:sz w:val="32"/>
          <w:szCs w:val="32"/>
        </w:rPr>
        <w:t>%，主要用于</w:t>
      </w:r>
      <w:r>
        <w:rPr>
          <w:rFonts w:hint="eastAsia" w:ascii="Times New Roman" w:hAnsi="Times New Roman" w:eastAsia="仿宋_GB2312" w:cs="Times New Roman"/>
          <w:color w:val="000000" w:themeColor="text1"/>
          <w:sz w:val="32"/>
          <w:szCs w:val="32"/>
          <w:lang w:val="en-US" w:eastAsia="zh-CN"/>
        </w:rPr>
        <w:t>2023年部分绩效工资发放。</w:t>
      </w:r>
    </w:p>
    <w:p w14:paraId="1DCFC2AA">
      <w:pPr>
        <w:spacing w:line="560" w:lineRule="exact"/>
        <w:ind w:firstLine="640" w:firstLineChars="200"/>
        <w:jc w:val="left"/>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四</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财政拨款收支</w:t>
      </w:r>
      <w:r>
        <w:rPr>
          <w:rFonts w:hint="eastAsia" w:ascii="Times New Roman" w:hAnsi="Times New Roman" w:eastAsia="黑体"/>
          <w:color w:val="000000" w:themeColor="text1"/>
          <w:sz w:val="32"/>
          <w:szCs w:val="32"/>
        </w:rPr>
        <w:t>总表的</w:t>
      </w:r>
      <w:r>
        <w:rPr>
          <w:rFonts w:ascii="Times New Roman" w:hAnsi="Times New Roman" w:eastAsia="黑体"/>
          <w:color w:val="000000" w:themeColor="text1"/>
          <w:sz w:val="32"/>
          <w:szCs w:val="32"/>
        </w:rPr>
        <w:t>说明</w:t>
      </w:r>
    </w:p>
    <w:p w14:paraId="1085DA54">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财政拨款收支预算</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万元。收入按资金来源分为：一般公共预算拨款</w:t>
      </w:r>
      <w:r>
        <w:rPr>
          <w:rFonts w:hint="eastAsia" w:ascii="Times New Roman" w:hAnsi="Times New Roman" w:eastAsia="仿宋_GB2312"/>
          <w:color w:val="000000" w:themeColor="text1"/>
          <w:sz w:val="32"/>
          <w:szCs w:val="32"/>
          <w:lang w:val="en-US" w:eastAsia="zh-CN"/>
        </w:rPr>
        <w:t>1114.38</w:t>
      </w:r>
      <w:r>
        <w:rPr>
          <w:rFonts w:ascii="Times New Roman" w:hAnsi="Times New Roman" w:eastAsia="仿宋_GB2312"/>
          <w:color w:val="000000" w:themeColor="text1"/>
          <w:sz w:val="32"/>
          <w:szCs w:val="32"/>
        </w:rPr>
        <w:t>万元；按资金年度分为：当年财政拨款收入</w:t>
      </w:r>
      <w:r>
        <w:rPr>
          <w:rFonts w:hint="eastAsia" w:ascii="Times New Roman" w:hAnsi="Times New Roman" w:eastAsia="仿宋_GB2312"/>
          <w:color w:val="000000" w:themeColor="text1"/>
          <w:sz w:val="32"/>
          <w:szCs w:val="32"/>
          <w:lang w:val="en-US" w:eastAsia="zh-CN"/>
        </w:rPr>
        <w:t>1076.97</w:t>
      </w:r>
      <w:r>
        <w:rPr>
          <w:rFonts w:ascii="Times New Roman" w:hAnsi="Times New Roman" w:eastAsia="仿宋_GB2312"/>
          <w:color w:val="000000" w:themeColor="text1"/>
          <w:sz w:val="32"/>
          <w:szCs w:val="32"/>
        </w:rPr>
        <w:t>万元，上年结转</w:t>
      </w:r>
      <w:r>
        <w:rPr>
          <w:rFonts w:hint="eastAsia" w:ascii="Times New Roman" w:hAnsi="Times New Roman" w:eastAsia="仿宋_GB2312"/>
          <w:color w:val="000000" w:themeColor="text1"/>
          <w:sz w:val="32"/>
          <w:szCs w:val="32"/>
          <w:lang w:val="en-US" w:eastAsia="zh-CN"/>
        </w:rPr>
        <w:t>37.41</w:t>
      </w:r>
      <w:r>
        <w:rPr>
          <w:rFonts w:ascii="Times New Roman" w:hAnsi="Times New Roman" w:eastAsia="仿宋_GB2312"/>
          <w:color w:val="000000" w:themeColor="text1"/>
          <w:sz w:val="32"/>
          <w:szCs w:val="32"/>
        </w:rPr>
        <w:t>万元。</w:t>
      </w:r>
    </w:p>
    <w:p w14:paraId="6CAB9172">
      <w:pPr>
        <w:pStyle w:val="7"/>
        <w:widowControl w:val="0"/>
        <w:adjustRightInd w:val="0"/>
        <w:snapToGrid w:val="0"/>
        <w:spacing w:before="0" w:beforeAutospacing="0" w:after="0" w:afterAutospacing="0" w:line="560" w:lineRule="exact"/>
        <w:ind w:firstLine="640" w:firstLineChars="200"/>
        <w:rPr>
          <w:rFonts w:ascii="Times New Roman" w:hAnsi="Times New Roman" w:eastAsia="楷体" w:cs="Times New Roman"/>
          <w:color w:val="FF0000"/>
          <w:kern w:val="2"/>
          <w:sz w:val="32"/>
          <w:szCs w:val="32"/>
        </w:rPr>
      </w:pPr>
      <w:r>
        <w:rPr>
          <w:rFonts w:ascii="Times New Roman" w:hAnsi="Times New Roman" w:eastAsia="仿宋_GB2312" w:cs="Times New Roman"/>
          <w:color w:val="000000" w:themeColor="text1"/>
          <w:kern w:val="2"/>
          <w:sz w:val="32"/>
          <w:szCs w:val="32"/>
        </w:rPr>
        <w:t>支出按功能分类分为：公共</w:t>
      </w:r>
      <w:r>
        <w:rPr>
          <w:rFonts w:hint="eastAsia" w:ascii="Times New Roman" w:hAnsi="Times New Roman" w:eastAsia="仿宋_GB2312" w:cs="Times New Roman"/>
          <w:color w:val="000000" w:themeColor="text1"/>
          <w:kern w:val="2"/>
          <w:sz w:val="32"/>
          <w:szCs w:val="32"/>
          <w:lang w:eastAsia="zh-CN"/>
        </w:rPr>
        <w:t>安全</w:t>
      </w:r>
      <w:r>
        <w:rPr>
          <w:rFonts w:ascii="Times New Roman" w:hAnsi="Times New Roman" w:eastAsia="仿宋_GB2312" w:cs="Times New Roman"/>
          <w:color w:val="000000" w:themeColor="text1"/>
          <w:kern w:val="2"/>
          <w:sz w:val="32"/>
          <w:szCs w:val="32"/>
        </w:rPr>
        <w:t>支出</w:t>
      </w:r>
      <w:r>
        <w:rPr>
          <w:rFonts w:hint="eastAsia" w:ascii="Times New Roman" w:hAnsi="Times New Roman" w:eastAsia="仿宋_GB2312" w:cs="Times New Roman"/>
          <w:color w:val="000000" w:themeColor="text1"/>
          <w:kern w:val="2"/>
          <w:sz w:val="32"/>
          <w:szCs w:val="32"/>
          <w:lang w:val="en-US" w:eastAsia="zh-CN"/>
        </w:rPr>
        <w:t>855.79</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76.80</w:t>
      </w:r>
      <w:r>
        <w:rPr>
          <w:rFonts w:ascii="Times New Roman" w:hAnsi="Times New Roman" w:eastAsia="仿宋_GB2312" w:cs="Times New Roman"/>
          <w:color w:val="000000" w:themeColor="text1"/>
          <w:kern w:val="2"/>
          <w:sz w:val="32"/>
          <w:szCs w:val="32"/>
        </w:rPr>
        <w:t>%；社会保障和就业支出</w:t>
      </w:r>
      <w:r>
        <w:rPr>
          <w:rFonts w:hint="eastAsia" w:ascii="Times New Roman" w:hAnsi="Times New Roman" w:eastAsia="仿宋_GB2312" w:cs="Times New Roman"/>
          <w:color w:val="000000" w:themeColor="text1"/>
          <w:kern w:val="2"/>
          <w:sz w:val="32"/>
          <w:szCs w:val="32"/>
          <w:lang w:val="en-US" w:eastAsia="zh-CN"/>
        </w:rPr>
        <w:t>149.90</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13.45</w:t>
      </w:r>
      <w:r>
        <w:rPr>
          <w:rFonts w:ascii="Times New Roman" w:hAnsi="Times New Roman" w:eastAsia="仿宋_GB2312" w:cs="Times New Roman"/>
          <w:color w:val="000000" w:themeColor="text1"/>
          <w:kern w:val="2"/>
          <w:sz w:val="32"/>
          <w:szCs w:val="32"/>
        </w:rPr>
        <w:t>%；卫生健康支出</w:t>
      </w:r>
      <w:r>
        <w:rPr>
          <w:rFonts w:hint="eastAsia" w:ascii="Times New Roman" w:hAnsi="Times New Roman" w:eastAsia="仿宋_GB2312" w:cs="Times New Roman"/>
          <w:color w:val="000000" w:themeColor="text1"/>
          <w:kern w:val="2"/>
          <w:sz w:val="32"/>
          <w:szCs w:val="32"/>
          <w:lang w:val="en-US" w:eastAsia="zh-CN"/>
        </w:rPr>
        <w:t>33.83</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3.03</w:t>
      </w:r>
      <w:r>
        <w:rPr>
          <w:rFonts w:ascii="Times New Roman" w:hAnsi="Times New Roman" w:eastAsia="仿宋_GB2312" w:cs="Times New Roman"/>
          <w:color w:val="000000" w:themeColor="text1"/>
          <w:kern w:val="2"/>
          <w:sz w:val="32"/>
          <w:szCs w:val="32"/>
        </w:rPr>
        <w:t>%；住房保障支出</w:t>
      </w:r>
      <w:r>
        <w:rPr>
          <w:rFonts w:hint="eastAsia" w:ascii="Times New Roman" w:hAnsi="Times New Roman" w:eastAsia="仿宋_GB2312" w:cs="Times New Roman"/>
          <w:color w:val="000000" w:themeColor="text1"/>
          <w:kern w:val="2"/>
          <w:sz w:val="32"/>
          <w:szCs w:val="32"/>
          <w:lang w:val="en-US" w:eastAsia="zh-CN"/>
        </w:rPr>
        <w:t>74.86</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6.72%</w:t>
      </w:r>
      <w:r>
        <w:rPr>
          <w:rFonts w:ascii="Times New Roman" w:hAnsi="Times New Roman" w:eastAsia="仿宋_GB2312" w:cs="Times New Roman"/>
          <w:color w:val="000000" w:themeColor="text1"/>
          <w:kern w:val="2"/>
          <w:sz w:val="32"/>
          <w:szCs w:val="32"/>
        </w:rPr>
        <w:t>。</w:t>
      </w:r>
    </w:p>
    <w:p w14:paraId="2219E45B">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与</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 xml:space="preserve">预算相比，收、支总计各增加 </w:t>
      </w:r>
      <w:r>
        <w:rPr>
          <w:rFonts w:hint="eastAsia" w:ascii="Times New Roman" w:hAnsi="Times New Roman" w:eastAsia="仿宋_GB2312"/>
          <w:color w:val="000000" w:themeColor="text1"/>
          <w:sz w:val="32"/>
          <w:szCs w:val="32"/>
          <w:lang w:val="en-US" w:eastAsia="zh-CN"/>
        </w:rPr>
        <w:t>32.34</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2.99</w:t>
      </w:r>
      <w:r>
        <w:rPr>
          <w:rFonts w:ascii="Times New Roman" w:hAnsi="Times New Roman" w:eastAsia="仿宋_GB2312"/>
          <w:color w:val="000000" w:themeColor="text1"/>
          <w:sz w:val="32"/>
          <w:szCs w:val="32"/>
        </w:rPr>
        <w:t>%。主要原因：</w:t>
      </w:r>
      <w:r>
        <w:rPr>
          <w:rFonts w:hint="eastAsia" w:ascii="Times New Roman" w:hAnsi="Times New Roman" w:eastAsia="仿宋_GB2312"/>
          <w:color w:val="000000" w:themeColor="text1"/>
          <w:sz w:val="32"/>
          <w:szCs w:val="32"/>
          <w:lang w:eastAsia="zh-CN"/>
        </w:rPr>
        <w:t>上年绩效工资</w:t>
      </w:r>
      <w:r>
        <w:rPr>
          <w:rFonts w:hint="eastAsia" w:ascii="Times New Roman" w:hAnsi="Times New Roman" w:eastAsia="仿宋_GB2312"/>
          <w:color w:val="000000" w:themeColor="text1"/>
          <w:sz w:val="32"/>
          <w:szCs w:val="32"/>
          <w:lang w:val="en-US" w:eastAsia="zh-CN"/>
        </w:rPr>
        <w:t>60%部分结转到今年预算。</w:t>
      </w:r>
    </w:p>
    <w:p w14:paraId="07ACF700">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五</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一般公共预算</w:t>
      </w:r>
      <w:r>
        <w:rPr>
          <w:rFonts w:hint="eastAsia" w:ascii="Times New Roman" w:hAnsi="Times New Roman" w:eastAsia="黑体"/>
          <w:color w:val="000000" w:themeColor="text1"/>
          <w:sz w:val="32"/>
          <w:szCs w:val="32"/>
        </w:rPr>
        <w:t>支出表的</w:t>
      </w:r>
      <w:r>
        <w:rPr>
          <w:rFonts w:ascii="Times New Roman" w:hAnsi="Times New Roman" w:eastAsia="黑体"/>
          <w:color w:val="000000" w:themeColor="text1"/>
          <w:sz w:val="32"/>
          <w:szCs w:val="32"/>
        </w:rPr>
        <w:t>说明</w:t>
      </w:r>
    </w:p>
    <w:p w14:paraId="69CE0136">
      <w:pPr>
        <w:spacing w:line="560" w:lineRule="exact"/>
        <w:ind w:firstLine="643" w:firstLineChars="200"/>
        <w:rPr>
          <w:rFonts w:ascii="Times New Roman" w:hAnsi="Times New Roman" w:eastAsia="楷体"/>
          <w:b/>
          <w:color w:val="000000" w:themeColor="text1"/>
          <w:sz w:val="32"/>
          <w:szCs w:val="32"/>
        </w:rPr>
      </w:pPr>
      <w:r>
        <w:rPr>
          <w:rFonts w:ascii="Times New Roman" w:hAnsi="Times New Roman" w:eastAsia="楷体"/>
          <w:b/>
          <w:color w:val="000000" w:themeColor="text1"/>
          <w:sz w:val="32"/>
          <w:szCs w:val="32"/>
        </w:rPr>
        <w:t>（一）一般公共预算拨款规模变化情况。</w:t>
      </w:r>
    </w:p>
    <w:p w14:paraId="4C0829D6">
      <w:pPr>
        <w:pStyle w:val="7"/>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rPr>
      </w:pPr>
      <w:r>
        <w:rPr>
          <w:rFonts w:hint="eastAsia" w:ascii="Times New Roman" w:hAnsi="Times New Roman" w:eastAsia="仿宋_GB2312" w:cs="Times New Roman"/>
          <w:color w:val="000000" w:themeColor="text1"/>
          <w:kern w:val="2"/>
          <w:sz w:val="32"/>
          <w:szCs w:val="32"/>
          <w:lang w:eastAsia="zh-CN"/>
        </w:rPr>
        <w:t>霍山县人民检察院</w:t>
      </w:r>
      <w:r>
        <w:rPr>
          <w:rFonts w:hint="eastAsia" w:ascii="Times New Roman" w:hAnsi="Times New Roman" w:eastAsia="仿宋_GB2312" w:cs="Times New Roman"/>
          <w:color w:val="000000" w:themeColor="text1"/>
          <w:kern w:val="2"/>
          <w:sz w:val="32"/>
          <w:szCs w:val="32"/>
        </w:rPr>
        <w:t>2023年</w:t>
      </w:r>
      <w:r>
        <w:rPr>
          <w:rFonts w:ascii="Times New Roman" w:hAnsi="Times New Roman" w:eastAsia="仿宋_GB2312" w:cs="Times New Roman"/>
          <w:color w:val="000000" w:themeColor="text1"/>
          <w:kern w:val="2"/>
          <w:sz w:val="32"/>
          <w:szCs w:val="32"/>
        </w:rPr>
        <w:t>一般公共预算拨款</w:t>
      </w:r>
      <w:r>
        <w:rPr>
          <w:rFonts w:hint="eastAsia" w:ascii="Times New Roman" w:hAnsi="Times New Roman" w:eastAsia="仿宋_GB2312" w:cs="Times New Roman"/>
          <w:color w:val="000000" w:themeColor="text1"/>
          <w:kern w:val="2"/>
          <w:sz w:val="32"/>
          <w:szCs w:val="32"/>
          <w:lang w:val="en-US" w:eastAsia="zh-CN"/>
        </w:rPr>
        <w:t>1114.38</w:t>
      </w:r>
      <w:r>
        <w:rPr>
          <w:rFonts w:ascii="Times New Roman" w:hAnsi="Times New Roman" w:eastAsia="仿宋_GB2312" w:cs="Times New Roman"/>
          <w:color w:val="000000" w:themeColor="text1"/>
          <w:sz w:val="32"/>
          <w:szCs w:val="32"/>
        </w:rPr>
        <w:t>万元</w:t>
      </w:r>
      <w:r>
        <w:rPr>
          <w:rFonts w:ascii="Times New Roman" w:hAnsi="Times New Roman" w:eastAsia="仿宋_GB2312" w:cs="Times New Roman"/>
          <w:color w:val="000000" w:themeColor="text1"/>
          <w:kern w:val="2"/>
          <w:sz w:val="32"/>
          <w:szCs w:val="32"/>
        </w:rPr>
        <w:t>，</w:t>
      </w:r>
      <w:r>
        <w:rPr>
          <w:rFonts w:hint="eastAsia" w:ascii="Times New Roman" w:hAnsi="Times New Roman" w:eastAsia="仿宋_GB2312" w:cs="Times New Roman"/>
          <w:color w:val="000000" w:themeColor="text1"/>
          <w:kern w:val="2"/>
          <w:sz w:val="32"/>
          <w:szCs w:val="32"/>
        </w:rPr>
        <w:t>较2022年</w:t>
      </w:r>
      <w:r>
        <w:rPr>
          <w:rFonts w:ascii="Times New Roman" w:hAnsi="Times New Roman" w:eastAsia="仿宋_GB2312" w:cs="Times New Roman"/>
          <w:color w:val="000000" w:themeColor="text1"/>
          <w:kern w:val="2"/>
          <w:sz w:val="32"/>
          <w:szCs w:val="32"/>
        </w:rPr>
        <w:t>预算拨款增加</w:t>
      </w:r>
      <w:r>
        <w:rPr>
          <w:rFonts w:hint="eastAsia" w:ascii="Times New Roman" w:hAnsi="Times New Roman" w:eastAsia="仿宋_GB2312" w:cs="Times New Roman"/>
          <w:color w:val="000000" w:themeColor="text1"/>
          <w:kern w:val="2"/>
          <w:sz w:val="32"/>
          <w:szCs w:val="32"/>
          <w:lang w:val="en-US" w:eastAsia="zh-CN"/>
        </w:rPr>
        <w:t>32.34</w:t>
      </w:r>
      <w:r>
        <w:rPr>
          <w:rFonts w:ascii="Times New Roman" w:hAnsi="Times New Roman" w:eastAsia="仿宋_GB2312" w:cs="Times New Roman"/>
          <w:color w:val="000000" w:themeColor="text1"/>
          <w:kern w:val="2"/>
          <w:sz w:val="32"/>
          <w:szCs w:val="32"/>
        </w:rPr>
        <w:t>万元，增长</w:t>
      </w:r>
      <w:r>
        <w:rPr>
          <w:rFonts w:hint="eastAsia" w:ascii="Times New Roman" w:hAnsi="Times New Roman" w:eastAsia="仿宋_GB2312" w:cs="Times New Roman"/>
          <w:color w:val="000000" w:themeColor="text1"/>
          <w:kern w:val="2"/>
          <w:sz w:val="32"/>
          <w:szCs w:val="32"/>
          <w:lang w:val="en-US" w:eastAsia="zh-CN"/>
        </w:rPr>
        <w:t>2.99</w:t>
      </w:r>
      <w:r>
        <w:rPr>
          <w:rFonts w:ascii="Times New Roman" w:hAnsi="Times New Roman" w:eastAsia="仿宋_GB2312" w:cs="Times New Roman"/>
          <w:color w:val="000000" w:themeColor="text1"/>
          <w:kern w:val="2"/>
          <w:sz w:val="32"/>
          <w:szCs w:val="32"/>
        </w:rPr>
        <w:t>%，主要原因</w:t>
      </w:r>
      <w:r>
        <w:rPr>
          <w:rFonts w:hint="eastAsia" w:ascii="Times New Roman" w:hAnsi="Times New Roman" w:eastAsia="仿宋_GB2312" w:cs="Times New Roman"/>
          <w:color w:val="000000" w:themeColor="text1"/>
          <w:kern w:val="2"/>
          <w:sz w:val="32"/>
          <w:szCs w:val="32"/>
          <w:lang w:eastAsia="zh-CN"/>
        </w:rPr>
        <w:t>是</w:t>
      </w:r>
      <w:r>
        <w:rPr>
          <w:rFonts w:hint="eastAsia" w:ascii="Times New Roman" w:hAnsi="Times New Roman" w:eastAsia="仿宋_GB2312"/>
          <w:color w:val="000000" w:themeColor="text1"/>
          <w:sz w:val="32"/>
          <w:szCs w:val="32"/>
          <w:lang w:eastAsia="zh-CN"/>
        </w:rPr>
        <w:t>上年绩效工资</w:t>
      </w:r>
      <w:r>
        <w:rPr>
          <w:rFonts w:hint="eastAsia" w:ascii="Times New Roman" w:hAnsi="Times New Roman" w:eastAsia="仿宋_GB2312"/>
          <w:color w:val="000000" w:themeColor="text1"/>
          <w:sz w:val="32"/>
          <w:szCs w:val="32"/>
          <w:lang w:val="en-US" w:eastAsia="zh-CN"/>
        </w:rPr>
        <w:t>60%部分列入今年预算</w:t>
      </w:r>
      <w:r>
        <w:rPr>
          <w:rFonts w:ascii="Times New Roman" w:hAnsi="Times New Roman" w:eastAsia="仿宋_GB2312" w:cs="Times New Roman"/>
          <w:color w:val="000000" w:themeColor="text1"/>
          <w:kern w:val="2"/>
          <w:sz w:val="32"/>
          <w:szCs w:val="32"/>
        </w:rPr>
        <w:t>。</w:t>
      </w:r>
    </w:p>
    <w:p w14:paraId="06B37274">
      <w:pPr>
        <w:spacing w:line="560" w:lineRule="exact"/>
        <w:ind w:firstLine="643" w:firstLineChars="200"/>
        <w:rPr>
          <w:rFonts w:ascii="Times New Roman" w:hAnsi="Times New Roman" w:eastAsia="楷体"/>
          <w:b/>
          <w:color w:val="000000" w:themeColor="text1"/>
          <w:sz w:val="32"/>
          <w:szCs w:val="32"/>
        </w:rPr>
      </w:pPr>
      <w:r>
        <w:rPr>
          <w:rFonts w:ascii="Times New Roman" w:hAnsi="Times New Roman" w:eastAsia="楷体"/>
          <w:b/>
          <w:color w:val="000000" w:themeColor="text1"/>
          <w:sz w:val="32"/>
          <w:szCs w:val="32"/>
        </w:rPr>
        <w:t>（二）一般公共预算拨款结构情况。</w:t>
      </w:r>
    </w:p>
    <w:p w14:paraId="22072729">
      <w:pPr>
        <w:pStyle w:val="7"/>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kern w:val="2"/>
          <w:sz w:val="32"/>
          <w:szCs w:val="32"/>
        </w:rPr>
      </w:pPr>
      <w:r>
        <w:rPr>
          <w:rFonts w:ascii="Times New Roman" w:hAnsi="Times New Roman" w:eastAsia="仿宋_GB2312" w:cs="Times New Roman"/>
          <w:color w:val="000000" w:themeColor="text1"/>
          <w:kern w:val="2"/>
          <w:sz w:val="32"/>
          <w:szCs w:val="32"/>
        </w:rPr>
        <w:t>公共</w:t>
      </w:r>
      <w:r>
        <w:rPr>
          <w:rFonts w:hint="eastAsia" w:ascii="Times New Roman" w:hAnsi="Times New Roman" w:eastAsia="仿宋_GB2312" w:cs="Times New Roman"/>
          <w:color w:val="000000" w:themeColor="text1"/>
          <w:kern w:val="2"/>
          <w:sz w:val="32"/>
          <w:szCs w:val="32"/>
          <w:lang w:eastAsia="zh-CN"/>
        </w:rPr>
        <w:t>安全</w:t>
      </w:r>
      <w:r>
        <w:rPr>
          <w:rFonts w:ascii="Times New Roman" w:hAnsi="Times New Roman" w:eastAsia="仿宋_GB2312" w:cs="Times New Roman"/>
          <w:color w:val="000000" w:themeColor="text1"/>
          <w:kern w:val="2"/>
          <w:sz w:val="32"/>
          <w:szCs w:val="32"/>
        </w:rPr>
        <w:t>支出</w:t>
      </w:r>
      <w:r>
        <w:rPr>
          <w:rFonts w:hint="eastAsia" w:ascii="Times New Roman" w:hAnsi="Times New Roman" w:eastAsia="仿宋_GB2312" w:cs="Times New Roman"/>
          <w:color w:val="000000" w:themeColor="text1"/>
          <w:kern w:val="2"/>
          <w:sz w:val="32"/>
          <w:szCs w:val="32"/>
          <w:lang w:val="en-US" w:eastAsia="zh-CN"/>
        </w:rPr>
        <w:t>855.79</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76.80</w:t>
      </w:r>
      <w:r>
        <w:rPr>
          <w:rFonts w:ascii="Times New Roman" w:hAnsi="Times New Roman" w:eastAsia="仿宋_GB2312" w:cs="Times New Roman"/>
          <w:color w:val="000000" w:themeColor="text1"/>
          <w:kern w:val="2"/>
          <w:sz w:val="32"/>
          <w:szCs w:val="32"/>
        </w:rPr>
        <w:t>%；社会保障和就业支出</w:t>
      </w:r>
      <w:r>
        <w:rPr>
          <w:rFonts w:hint="eastAsia" w:ascii="Times New Roman" w:hAnsi="Times New Roman" w:eastAsia="仿宋_GB2312" w:cs="Times New Roman"/>
          <w:color w:val="000000" w:themeColor="text1"/>
          <w:kern w:val="2"/>
          <w:sz w:val="32"/>
          <w:szCs w:val="32"/>
          <w:lang w:val="en-US" w:eastAsia="zh-CN"/>
        </w:rPr>
        <w:t>149.90</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13.45</w:t>
      </w:r>
      <w:r>
        <w:rPr>
          <w:rFonts w:ascii="Times New Roman" w:hAnsi="Times New Roman" w:eastAsia="仿宋_GB2312" w:cs="Times New Roman"/>
          <w:color w:val="000000" w:themeColor="text1"/>
          <w:kern w:val="2"/>
          <w:sz w:val="32"/>
          <w:szCs w:val="32"/>
        </w:rPr>
        <w:t>%；卫生健康支出</w:t>
      </w:r>
      <w:r>
        <w:rPr>
          <w:rFonts w:hint="eastAsia" w:ascii="Times New Roman" w:hAnsi="Times New Roman" w:eastAsia="仿宋_GB2312" w:cs="Times New Roman"/>
          <w:color w:val="000000" w:themeColor="text1"/>
          <w:kern w:val="2"/>
          <w:sz w:val="32"/>
          <w:szCs w:val="32"/>
          <w:lang w:val="en-US" w:eastAsia="zh-CN"/>
        </w:rPr>
        <w:t>33.83</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3.03</w:t>
      </w:r>
      <w:r>
        <w:rPr>
          <w:rFonts w:ascii="Times New Roman" w:hAnsi="Times New Roman" w:eastAsia="仿宋_GB2312" w:cs="Times New Roman"/>
          <w:color w:val="000000" w:themeColor="text1"/>
          <w:kern w:val="2"/>
          <w:sz w:val="32"/>
          <w:szCs w:val="32"/>
        </w:rPr>
        <w:t>%；住房保障支出</w:t>
      </w:r>
      <w:r>
        <w:rPr>
          <w:rFonts w:hint="eastAsia" w:ascii="Times New Roman" w:hAnsi="Times New Roman" w:eastAsia="仿宋_GB2312" w:cs="Times New Roman"/>
          <w:color w:val="000000" w:themeColor="text1"/>
          <w:kern w:val="2"/>
          <w:sz w:val="32"/>
          <w:szCs w:val="32"/>
          <w:lang w:val="en-US" w:eastAsia="zh-CN"/>
        </w:rPr>
        <w:t>74.86</w:t>
      </w:r>
      <w:r>
        <w:rPr>
          <w:rFonts w:ascii="Times New Roman" w:hAnsi="Times New Roman" w:eastAsia="仿宋_GB2312" w:cs="Times New Roman"/>
          <w:color w:val="000000" w:themeColor="text1"/>
          <w:kern w:val="2"/>
          <w:sz w:val="32"/>
          <w:szCs w:val="32"/>
        </w:rPr>
        <w:t>万元，占</w:t>
      </w:r>
      <w:r>
        <w:rPr>
          <w:rFonts w:hint="eastAsia" w:ascii="Times New Roman" w:hAnsi="Times New Roman" w:eastAsia="仿宋_GB2312" w:cs="Times New Roman"/>
          <w:color w:val="000000" w:themeColor="text1"/>
          <w:kern w:val="2"/>
          <w:sz w:val="32"/>
          <w:szCs w:val="32"/>
          <w:lang w:val="en-US" w:eastAsia="zh-CN"/>
        </w:rPr>
        <w:t>6.72%</w:t>
      </w:r>
      <w:r>
        <w:rPr>
          <w:rFonts w:ascii="Times New Roman" w:hAnsi="Times New Roman" w:eastAsia="仿宋_GB2312" w:cs="Times New Roman"/>
          <w:color w:val="000000" w:themeColor="text1"/>
          <w:kern w:val="2"/>
          <w:sz w:val="32"/>
          <w:szCs w:val="32"/>
        </w:rPr>
        <w:t>。</w:t>
      </w:r>
    </w:p>
    <w:p w14:paraId="3CB73677">
      <w:pPr>
        <w:spacing w:line="560" w:lineRule="exact"/>
        <w:ind w:firstLine="643" w:firstLineChars="200"/>
        <w:rPr>
          <w:rFonts w:ascii="Times New Roman" w:hAnsi="Times New Roman" w:eastAsia="楷体"/>
          <w:b/>
          <w:color w:val="000000" w:themeColor="text1"/>
          <w:sz w:val="32"/>
          <w:szCs w:val="32"/>
        </w:rPr>
      </w:pPr>
      <w:r>
        <w:rPr>
          <w:rFonts w:ascii="Times New Roman" w:hAnsi="Times New Roman" w:eastAsia="楷体"/>
          <w:b/>
          <w:color w:val="000000" w:themeColor="text1"/>
          <w:sz w:val="32"/>
          <w:szCs w:val="32"/>
        </w:rPr>
        <w:t>（三）一般公共预算拨款具体使用情况。</w:t>
      </w:r>
    </w:p>
    <w:p w14:paraId="7BA18CB8">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1.公共</w:t>
      </w:r>
      <w:r>
        <w:rPr>
          <w:rFonts w:hint="eastAsia" w:ascii="Times New Roman" w:hAnsi="Times New Roman" w:eastAsia="仿宋_GB2312"/>
          <w:b/>
          <w:color w:val="000000" w:themeColor="text1"/>
          <w:sz w:val="32"/>
          <w:szCs w:val="32"/>
          <w:lang w:eastAsia="zh-CN"/>
        </w:rPr>
        <w:t>安全</w:t>
      </w:r>
      <w:r>
        <w:rPr>
          <w:rFonts w:ascii="Times New Roman" w:hAnsi="Times New Roman" w:eastAsia="仿宋_GB2312"/>
          <w:b/>
          <w:color w:val="000000" w:themeColor="text1"/>
          <w:sz w:val="32"/>
          <w:szCs w:val="32"/>
        </w:rPr>
        <w:t>支出（类）</w:t>
      </w:r>
      <w:r>
        <w:rPr>
          <w:rFonts w:hint="eastAsia" w:ascii="Times New Roman" w:hAnsi="Times New Roman" w:eastAsia="仿宋_GB2312"/>
          <w:b/>
          <w:color w:val="000000" w:themeColor="text1"/>
          <w:sz w:val="32"/>
          <w:szCs w:val="32"/>
          <w:lang w:eastAsia="zh-CN"/>
        </w:rPr>
        <w:t>检察</w:t>
      </w:r>
      <w:r>
        <w:rPr>
          <w:rFonts w:ascii="Times New Roman" w:hAnsi="Times New Roman" w:eastAsia="仿宋_GB2312"/>
          <w:b/>
          <w:color w:val="000000" w:themeColor="text1"/>
          <w:sz w:val="32"/>
          <w:szCs w:val="32"/>
        </w:rPr>
        <w:t>（款）行政运行（项）</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818.38</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62.9</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8.33</w:t>
      </w:r>
      <w:r>
        <w:rPr>
          <w:rFonts w:ascii="Times New Roman" w:hAnsi="Times New Roman" w:eastAsia="仿宋_GB2312"/>
          <w:color w:val="000000" w:themeColor="text1"/>
          <w:sz w:val="32"/>
          <w:szCs w:val="32"/>
        </w:rPr>
        <w:t>%，增长原因主要</w:t>
      </w:r>
      <w:r>
        <w:rPr>
          <w:rFonts w:hint="eastAsia" w:ascii="Times New Roman" w:hAnsi="Times New Roman" w:eastAsia="仿宋_GB2312"/>
          <w:color w:val="000000" w:themeColor="text1"/>
          <w:sz w:val="32"/>
          <w:szCs w:val="32"/>
          <w:lang w:eastAsia="zh-CN"/>
        </w:rPr>
        <w:t>是人员经费的增加</w:t>
      </w:r>
      <w:r>
        <w:rPr>
          <w:rFonts w:ascii="Times New Roman" w:hAnsi="Times New Roman" w:eastAsia="仿宋_GB2312"/>
          <w:color w:val="000000" w:themeColor="text1"/>
          <w:sz w:val="32"/>
          <w:szCs w:val="32"/>
        </w:rPr>
        <w:t>。</w:t>
      </w:r>
    </w:p>
    <w:p w14:paraId="300A3D14">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2.</w:t>
      </w:r>
      <w:r>
        <w:rPr>
          <w:rFonts w:hint="eastAsia" w:ascii="Times New Roman" w:hAnsi="Times New Roman" w:eastAsia="仿宋_GB2312"/>
          <w:b/>
          <w:color w:val="000000" w:themeColor="text1"/>
          <w:sz w:val="32"/>
          <w:szCs w:val="32"/>
          <w:lang w:eastAsia="zh-CN"/>
        </w:rPr>
        <w:t>公共安全</w:t>
      </w:r>
      <w:r>
        <w:rPr>
          <w:rFonts w:ascii="Times New Roman" w:hAnsi="Times New Roman" w:eastAsia="仿宋_GB2312"/>
          <w:b/>
          <w:color w:val="000000" w:themeColor="text1"/>
          <w:sz w:val="32"/>
          <w:szCs w:val="32"/>
        </w:rPr>
        <w:t>支出（类）</w:t>
      </w:r>
      <w:r>
        <w:rPr>
          <w:rFonts w:hint="eastAsia" w:ascii="Times New Roman" w:hAnsi="Times New Roman" w:eastAsia="仿宋_GB2312"/>
          <w:b/>
          <w:color w:val="000000" w:themeColor="text1"/>
          <w:sz w:val="32"/>
          <w:szCs w:val="32"/>
          <w:lang w:eastAsia="zh-CN"/>
        </w:rPr>
        <w:t>检察</w:t>
      </w:r>
      <w:r>
        <w:rPr>
          <w:rFonts w:ascii="Times New Roman" w:hAnsi="Times New Roman" w:eastAsia="仿宋_GB2312"/>
          <w:b/>
          <w:color w:val="000000" w:themeColor="text1"/>
          <w:sz w:val="32"/>
          <w:szCs w:val="32"/>
        </w:rPr>
        <w:t>（款）</w:t>
      </w:r>
      <w:r>
        <w:rPr>
          <w:rFonts w:hint="eastAsia" w:ascii="Times New Roman" w:hAnsi="Times New Roman" w:eastAsia="仿宋_GB2312"/>
          <w:b/>
          <w:color w:val="000000" w:themeColor="text1"/>
          <w:sz w:val="32"/>
          <w:szCs w:val="32"/>
          <w:lang w:eastAsia="zh-CN"/>
        </w:rPr>
        <w:t>其他检察支出</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37.41</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37.41</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100</w:t>
      </w:r>
      <w:r>
        <w:rPr>
          <w:rFonts w:ascii="Times New Roman" w:hAnsi="Times New Roman" w:eastAsia="仿宋_GB2312"/>
          <w:color w:val="000000" w:themeColor="text1"/>
          <w:sz w:val="32"/>
          <w:szCs w:val="32"/>
        </w:rPr>
        <w:t>%，增长原因主要是</w:t>
      </w:r>
      <w:r>
        <w:rPr>
          <w:rFonts w:hint="eastAsia" w:ascii="Times New Roman" w:hAnsi="Times New Roman" w:eastAsia="仿宋_GB2312"/>
          <w:color w:val="000000" w:themeColor="text1"/>
          <w:sz w:val="32"/>
          <w:szCs w:val="32"/>
          <w:lang w:eastAsia="zh-CN"/>
        </w:rPr>
        <w:t>上年绩效工资</w:t>
      </w:r>
      <w:r>
        <w:rPr>
          <w:rFonts w:hint="eastAsia" w:ascii="Times New Roman" w:hAnsi="Times New Roman" w:eastAsia="仿宋_GB2312"/>
          <w:color w:val="000000" w:themeColor="text1"/>
          <w:sz w:val="32"/>
          <w:szCs w:val="32"/>
          <w:lang w:val="en-US" w:eastAsia="zh-CN"/>
        </w:rPr>
        <w:t>60%结转到今年预算</w:t>
      </w:r>
      <w:r>
        <w:rPr>
          <w:rFonts w:ascii="Times New Roman" w:hAnsi="Times New Roman" w:eastAsia="仿宋_GB2312"/>
          <w:color w:val="000000" w:themeColor="text1"/>
          <w:sz w:val="32"/>
          <w:szCs w:val="32"/>
        </w:rPr>
        <w:t>。</w:t>
      </w:r>
    </w:p>
    <w:p w14:paraId="0AD38638">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3.社会保障和就业支出（类）行政事业单位养老支出（款）</w:t>
      </w:r>
      <w:r>
        <w:rPr>
          <w:rFonts w:hint="eastAsia" w:ascii="Times New Roman" w:hAnsi="Times New Roman" w:eastAsia="仿宋_GB2312"/>
          <w:b/>
          <w:color w:val="000000" w:themeColor="text1"/>
          <w:sz w:val="32"/>
          <w:szCs w:val="32"/>
        </w:rPr>
        <w:t>机关事业单位基本养老保险缴费支出</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61.68</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14.57</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30.93</w:t>
      </w:r>
      <w:r>
        <w:rPr>
          <w:rFonts w:ascii="Times New Roman" w:hAnsi="Times New Roman" w:eastAsia="仿宋_GB2312"/>
          <w:color w:val="000000" w:themeColor="text1"/>
          <w:sz w:val="32"/>
          <w:szCs w:val="32"/>
        </w:rPr>
        <w:t>%，增长原因主要</w:t>
      </w:r>
      <w:r>
        <w:rPr>
          <w:rFonts w:hint="eastAsia" w:ascii="Times New Roman" w:hAnsi="Times New Roman" w:eastAsia="仿宋_GB2312"/>
          <w:color w:val="000000" w:themeColor="text1"/>
          <w:sz w:val="32"/>
          <w:szCs w:val="32"/>
          <w:lang w:eastAsia="zh-CN"/>
        </w:rPr>
        <w:t>是工资的正常晋级晋档和去年部分养老保险费未列入预算</w:t>
      </w:r>
      <w:r>
        <w:rPr>
          <w:rFonts w:ascii="Times New Roman" w:hAnsi="Times New Roman" w:eastAsia="仿宋_GB2312"/>
          <w:color w:val="000000" w:themeColor="text1"/>
          <w:sz w:val="32"/>
          <w:szCs w:val="32"/>
        </w:rPr>
        <w:t>。</w:t>
      </w:r>
    </w:p>
    <w:p w14:paraId="6D735024">
      <w:pPr>
        <w:adjustRightInd w:val="0"/>
        <w:snapToGrid w:val="0"/>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val="en-US" w:eastAsia="zh-CN"/>
        </w:rPr>
        <w:t xml:space="preserve"> </w:t>
      </w:r>
      <w:r>
        <w:rPr>
          <w:rFonts w:hint="eastAsia" w:ascii="Times New Roman" w:hAnsi="Times New Roman" w:eastAsia="仿宋_GB2312"/>
          <w:b/>
          <w:color w:val="000000" w:themeColor="text1"/>
          <w:sz w:val="32"/>
          <w:szCs w:val="32"/>
          <w:lang w:val="en-US" w:eastAsia="zh-CN"/>
        </w:rPr>
        <w:t>4</w:t>
      </w:r>
      <w:r>
        <w:rPr>
          <w:rFonts w:hint="eastAsia" w:ascii="Times New Roman" w:hAnsi="Times New Roman" w:eastAsia="仿宋_GB2312"/>
          <w:b/>
          <w:color w:val="000000" w:themeColor="text1"/>
          <w:sz w:val="32"/>
          <w:szCs w:val="32"/>
        </w:rPr>
        <w:t>.</w:t>
      </w:r>
      <w:r>
        <w:rPr>
          <w:rFonts w:ascii="Times New Roman" w:hAnsi="Times New Roman" w:eastAsia="仿宋_GB2312"/>
          <w:b/>
          <w:color w:val="000000" w:themeColor="text1"/>
          <w:sz w:val="32"/>
          <w:szCs w:val="32"/>
        </w:rPr>
        <w:t>社会保障和就业支出（类）行政事业单位养老支出（款）</w:t>
      </w:r>
      <w:r>
        <w:rPr>
          <w:rFonts w:hint="eastAsia" w:ascii="Times New Roman" w:hAnsi="Times New Roman" w:eastAsia="仿宋_GB2312"/>
          <w:b/>
          <w:color w:val="000000" w:themeColor="text1"/>
          <w:sz w:val="32"/>
          <w:szCs w:val="32"/>
        </w:rPr>
        <w:t>机关事业单位职业年金缴费支出</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w:t>
      </w:r>
      <w:r>
        <w:rPr>
          <w:rFonts w:hint="eastAsia" w:ascii="Times New Roman" w:hAnsi="Times New Roman" w:eastAsia="仿宋_GB2312"/>
          <w:color w:val="000000" w:themeColor="text1"/>
          <w:sz w:val="32"/>
          <w:szCs w:val="32"/>
          <w:lang w:val="en-US" w:eastAsia="zh-CN"/>
        </w:rPr>
        <w:t>3</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30.84</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w:t>
      </w:r>
      <w:r>
        <w:rPr>
          <w:rFonts w:hint="eastAsia" w:ascii="Times New Roman" w:hAnsi="Times New Roman" w:eastAsia="仿宋_GB2312"/>
          <w:color w:val="000000" w:themeColor="text1"/>
          <w:sz w:val="32"/>
          <w:szCs w:val="32"/>
          <w:lang w:val="en-US" w:eastAsia="zh-CN"/>
        </w:rPr>
        <w:t>2</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7.29</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30.95</w:t>
      </w:r>
      <w:r>
        <w:rPr>
          <w:rFonts w:ascii="Times New Roman" w:hAnsi="Times New Roman" w:eastAsia="仿宋_GB2312"/>
          <w:color w:val="000000" w:themeColor="text1"/>
          <w:sz w:val="32"/>
          <w:szCs w:val="32"/>
        </w:rPr>
        <w:t>%，增长原因主要是</w:t>
      </w:r>
      <w:r>
        <w:rPr>
          <w:rFonts w:hint="eastAsia" w:ascii="Times New Roman" w:hAnsi="Times New Roman" w:eastAsia="仿宋_GB2312"/>
          <w:color w:val="000000" w:themeColor="text1"/>
          <w:sz w:val="32"/>
          <w:szCs w:val="32"/>
          <w:lang w:eastAsia="zh-CN"/>
        </w:rPr>
        <w:t>工资的正常晋级晋档和去年部分职业年金费未列入预算</w:t>
      </w:r>
      <w:r>
        <w:rPr>
          <w:rFonts w:ascii="Times New Roman" w:hAnsi="Times New Roman" w:eastAsia="仿宋_GB2312"/>
          <w:color w:val="000000" w:themeColor="text1"/>
          <w:sz w:val="32"/>
          <w:szCs w:val="32"/>
        </w:rPr>
        <w:t>。</w:t>
      </w:r>
    </w:p>
    <w:p w14:paraId="651AC184">
      <w:pPr>
        <w:adjustRightInd w:val="0"/>
        <w:snapToGrid w:val="0"/>
        <w:spacing w:line="560" w:lineRule="exact"/>
        <w:ind w:firstLine="640" w:firstLineChars="200"/>
        <w:rPr>
          <w:highlight w:val="none"/>
          <w:shd w:val="clear" w:color="auto" w:fill="auto"/>
        </w:rPr>
      </w:pPr>
      <w:r>
        <w:rPr>
          <w:rFonts w:hint="eastAsia" w:ascii="Times New Roman" w:hAnsi="Times New Roman" w:eastAsia="仿宋_GB2312"/>
          <w:color w:val="000000" w:themeColor="text1"/>
          <w:sz w:val="32"/>
          <w:szCs w:val="32"/>
          <w:lang w:val="en-US" w:eastAsia="zh-CN"/>
        </w:rPr>
        <w:t xml:space="preserve"> 5</w:t>
      </w:r>
      <w:r>
        <w:rPr>
          <w:rFonts w:hint="eastAsia" w:ascii="Times New Roman" w:hAnsi="Times New Roman" w:eastAsia="仿宋_GB2312"/>
          <w:b/>
          <w:color w:val="000000" w:themeColor="text1"/>
          <w:sz w:val="32"/>
          <w:szCs w:val="32"/>
        </w:rPr>
        <w:t>.</w:t>
      </w:r>
      <w:r>
        <w:rPr>
          <w:rFonts w:ascii="Times New Roman" w:hAnsi="Times New Roman" w:eastAsia="仿宋_GB2312"/>
          <w:b/>
          <w:color w:val="000000" w:themeColor="text1"/>
          <w:sz w:val="32"/>
          <w:szCs w:val="32"/>
        </w:rPr>
        <w:t>社会保障和就业支出（类）行政事业单位养老支出（款）</w:t>
      </w:r>
      <w:r>
        <w:rPr>
          <w:rFonts w:hint="eastAsia" w:ascii="Times New Roman" w:hAnsi="Times New Roman" w:eastAsia="仿宋_GB2312"/>
          <w:b/>
          <w:color w:val="000000" w:themeColor="text1"/>
          <w:sz w:val="32"/>
          <w:szCs w:val="32"/>
        </w:rPr>
        <w:t>其他行政事业单位养老支出</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w:t>
      </w:r>
      <w:r>
        <w:rPr>
          <w:rFonts w:hint="eastAsia" w:ascii="Times New Roman" w:hAnsi="Times New Roman" w:eastAsia="仿宋_GB2312"/>
          <w:color w:val="000000" w:themeColor="text1"/>
          <w:sz w:val="32"/>
          <w:szCs w:val="32"/>
          <w:lang w:val="en-US" w:eastAsia="zh-CN"/>
        </w:rPr>
        <w:t>3</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57.38</w:t>
      </w:r>
      <w:r>
        <w:rPr>
          <w:rFonts w:ascii="Times New Roman" w:hAnsi="Times New Roman" w:eastAsia="仿宋_GB2312"/>
          <w:color w:val="000000" w:themeColor="text1"/>
          <w:sz w:val="32"/>
          <w:szCs w:val="32"/>
        </w:rPr>
        <w:t>万元，</w:t>
      </w:r>
      <w:r>
        <w:rPr>
          <w:rFonts w:hint="eastAsia" w:ascii="Times New Roman" w:hAnsi="Times New Roman" w:eastAsia="仿宋_GB2312"/>
          <w:color w:val="auto"/>
          <w:sz w:val="32"/>
          <w:szCs w:val="32"/>
          <w:highlight w:val="none"/>
          <w:shd w:val="clear" w:color="auto" w:fill="auto"/>
        </w:rPr>
        <w:t>较202</w:t>
      </w:r>
      <w:r>
        <w:rPr>
          <w:rFonts w:hint="eastAsia" w:ascii="Times New Roman" w:hAnsi="Times New Roman" w:eastAsia="仿宋_GB2312"/>
          <w:color w:val="auto"/>
          <w:sz w:val="32"/>
          <w:szCs w:val="32"/>
          <w:highlight w:val="none"/>
          <w:shd w:val="clear" w:color="auto" w:fill="auto"/>
          <w:lang w:val="en-US" w:eastAsia="zh-CN"/>
        </w:rPr>
        <w:t>2</w:t>
      </w:r>
      <w:r>
        <w:rPr>
          <w:rFonts w:hint="eastAsia" w:ascii="Times New Roman" w:hAnsi="Times New Roman" w:eastAsia="仿宋_GB2312"/>
          <w:color w:val="auto"/>
          <w:sz w:val="32"/>
          <w:szCs w:val="32"/>
          <w:highlight w:val="none"/>
          <w:shd w:val="clear" w:color="auto" w:fill="auto"/>
        </w:rPr>
        <w:t>年</w:t>
      </w:r>
      <w:r>
        <w:rPr>
          <w:rFonts w:ascii="Times New Roman" w:hAnsi="Times New Roman" w:eastAsia="仿宋_GB2312"/>
          <w:color w:val="auto"/>
          <w:sz w:val="32"/>
          <w:szCs w:val="32"/>
          <w:highlight w:val="none"/>
          <w:shd w:val="clear" w:color="auto" w:fill="auto"/>
        </w:rPr>
        <w:t>预算增加</w:t>
      </w:r>
      <w:r>
        <w:rPr>
          <w:rFonts w:hint="eastAsia" w:ascii="Times New Roman" w:hAnsi="Times New Roman" w:eastAsia="仿宋_GB2312"/>
          <w:color w:val="auto"/>
          <w:sz w:val="32"/>
          <w:szCs w:val="32"/>
          <w:highlight w:val="none"/>
          <w:shd w:val="clear" w:color="auto" w:fill="auto"/>
          <w:lang w:val="en-US" w:eastAsia="zh-CN"/>
        </w:rPr>
        <w:t>7.29</w:t>
      </w:r>
      <w:r>
        <w:rPr>
          <w:rFonts w:ascii="Times New Roman" w:hAnsi="Times New Roman" w:eastAsia="仿宋_GB2312"/>
          <w:color w:val="auto"/>
          <w:sz w:val="32"/>
          <w:szCs w:val="32"/>
          <w:highlight w:val="none"/>
          <w:shd w:val="clear" w:color="auto" w:fill="auto"/>
        </w:rPr>
        <w:t>万元，增长</w:t>
      </w:r>
      <w:r>
        <w:rPr>
          <w:rFonts w:hint="eastAsia" w:ascii="Times New Roman" w:hAnsi="Times New Roman" w:eastAsia="仿宋_GB2312"/>
          <w:color w:val="auto"/>
          <w:sz w:val="32"/>
          <w:szCs w:val="32"/>
          <w:highlight w:val="none"/>
          <w:shd w:val="clear" w:color="auto" w:fill="auto"/>
          <w:lang w:val="en-US" w:eastAsia="zh-CN"/>
        </w:rPr>
        <w:t>30.95</w:t>
      </w:r>
      <w:r>
        <w:rPr>
          <w:rFonts w:ascii="Times New Roman" w:hAnsi="Times New Roman" w:eastAsia="仿宋_GB2312"/>
          <w:color w:val="auto"/>
          <w:sz w:val="32"/>
          <w:szCs w:val="32"/>
          <w:highlight w:val="none"/>
          <w:shd w:val="clear" w:color="auto" w:fill="auto"/>
        </w:rPr>
        <w:t>%，增长原因主要是</w:t>
      </w:r>
      <w:r>
        <w:rPr>
          <w:rFonts w:hint="eastAsia" w:ascii="Times New Roman" w:hAnsi="Times New Roman" w:eastAsia="仿宋_GB2312"/>
          <w:color w:val="auto"/>
          <w:sz w:val="32"/>
          <w:szCs w:val="32"/>
          <w:highlight w:val="none"/>
          <w:shd w:val="clear" w:color="auto" w:fill="auto"/>
          <w:lang w:eastAsia="zh-CN"/>
        </w:rPr>
        <w:t>工资的正常晋级晋档和书记员的养老金列入预算</w:t>
      </w:r>
      <w:r>
        <w:rPr>
          <w:rFonts w:ascii="Times New Roman" w:hAnsi="Times New Roman" w:eastAsia="仿宋_GB2312"/>
          <w:color w:val="auto"/>
          <w:sz w:val="32"/>
          <w:szCs w:val="32"/>
          <w:highlight w:val="none"/>
          <w:shd w:val="clear" w:color="auto" w:fill="auto"/>
        </w:rPr>
        <w:t>。</w:t>
      </w:r>
    </w:p>
    <w:p w14:paraId="0C1A4F9C">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hint="eastAsia" w:ascii="Times New Roman" w:hAnsi="Times New Roman" w:eastAsia="仿宋_GB2312"/>
          <w:b/>
          <w:color w:val="000000" w:themeColor="text1"/>
          <w:sz w:val="32"/>
          <w:szCs w:val="32"/>
          <w:lang w:val="en-US" w:eastAsia="zh-CN"/>
        </w:rPr>
        <w:t>6</w:t>
      </w:r>
      <w:r>
        <w:rPr>
          <w:rFonts w:ascii="Times New Roman" w:hAnsi="Times New Roman" w:eastAsia="仿宋_GB2312"/>
          <w:b/>
          <w:color w:val="000000" w:themeColor="text1"/>
          <w:sz w:val="32"/>
          <w:szCs w:val="32"/>
        </w:rPr>
        <w:t>.</w:t>
      </w:r>
      <w:r>
        <w:rPr>
          <w:rFonts w:hint="eastAsia" w:ascii="Times New Roman" w:hAnsi="Times New Roman" w:eastAsia="仿宋_GB2312"/>
          <w:b/>
          <w:color w:val="000000" w:themeColor="text1"/>
          <w:sz w:val="32"/>
          <w:szCs w:val="32"/>
        </w:rPr>
        <w:t>卫生健康</w:t>
      </w:r>
      <w:r>
        <w:rPr>
          <w:rFonts w:ascii="Times New Roman" w:hAnsi="Times New Roman" w:eastAsia="仿宋_GB2312"/>
          <w:b/>
          <w:color w:val="000000" w:themeColor="text1"/>
          <w:sz w:val="32"/>
          <w:szCs w:val="32"/>
        </w:rPr>
        <w:t>支出（类）行政事业单位</w:t>
      </w:r>
      <w:r>
        <w:rPr>
          <w:rFonts w:hint="eastAsia" w:ascii="Times New Roman" w:hAnsi="Times New Roman" w:eastAsia="仿宋_GB2312"/>
          <w:b/>
          <w:color w:val="000000" w:themeColor="text1"/>
          <w:sz w:val="32"/>
          <w:szCs w:val="32"/>
        </w:rPr>
        <w:t>医疗</w:t>
      </w:r>
      <w:r>
        <w:rPr>
          <w:rFonts w:ascii="Times New Roman" w:hAnsi="Times New Roman" w:eastAsia="仿宋_GB2312"/>
          <w:b/>
          <w:color w:val="000000" w:themeColor="text1"/>
          <w:sz w:val="32"/>
          <w:szCs w:val="32"/>
        </w:rPr>
        <w:t>（款）</w:t>
      </w:r>
      <w:r>
        <w:rPr>
          <w:rFonts w:hint="eastAsia" w:ascii="Times New Roman" w:hAnsi="Times New Roman" w:eastAsia="仿宋_GB2312"/>
          <w:b/>
          <w:color w:val="000000" w:themeColor="text1"/>
          <w:sz w:val="32"/>
          <w:szCs w:val="32"/>
        </w:rPr>
        <w:t>行政单位医疗</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w:t>
      </w:r>
      <w:r>
        <w:rPr>
          <w:rFonts w:hint="eastAsia" w:ascii="Times New Roman" w:hAnsi="Times New Roman" w:eastAsia="仿宋_GB2312"/>
          <w:color w:val="000000" w:themeColor="text1"/>
          <w:sz w:val="32"/>
          <w:szCs w:val="32"/>
          <w:lang w:val="en-US" w:eastAsia="zh-CN"/>
        </w:rPr>
        <w:t>3</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20.33</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w:t>
      </w:r>
      <w:r>
        <w:rPr>
          <w:rFonts w:hint="eastAsia" w:ascii="Times New Roman" w:hAnsi="Times New Roman" w:eastAsia="仿宋_GB2312"/>
          <w:color w:val="000000" w:themeColor="text1"/>
          <w:sz w:val="32"/>
          <w:szCs w:val="32"/>
          <w:lang w:val="en-US" w:eastAsia="zh-CN"/>
        </w:rPr>
        <w:t>2</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eastAsia="zh-CN"/>
        </w:rPr>
        <w:t>减少</w:t>
      </w:r>
      <w:r>
        <w:rPr>
          <w:rFonts w:hint="eastAsia" w:ascii="Times New Roman" w:hAnsi="Times New Roman" w:eastAsia="仿宋_GB2312"/>
          <w:color w:val="000000" w:themeColor="text1"/>
          <w:sz w:val="32"/>
          <w:szCs w:val="32"/>
          <w:lang w:val="en-US" w:eastAsia="zh-CN"/>
        </w:rPr>
        <w:t>0.28</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lang w:eastAsia="zh-CN"/>
        </w:rPr>
        <w:t>下降</w:t>
      </w:r>
      <w:r>
        <w:rPr>
          <w:rFonts w:hint="eastAsia"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lang w:val="en-US" w:eastAsia="zh-CN"/>
        </w:rPr>
        <w:t>.36</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eastAsia="zh-CN"/>
        </w:rPr>
        <w:t>下降原因主要是今年书记员人员减少</w:t>
      </w:r>
      <w:r>
        <w:rPr>
          <w:rFonts w:ascii="Times New Roman" w:hAnsi="Times New Roman" w:eastAsia="仿宋_GB2312"/>
          <w:color w:val="000000" w:themeColor="text1"/>
          <w:sz w:val="32"/>
          <w:szCs w:val="32"/>
        </w:rPr>
        <w:t>。</w:t>
      </w:r>
    </w:p>
    <w:p w14:paraId="182718F9">
      <w:pPr>
        <w:adjustRightInd w:val="0"/>
        <w:snapToGrid w:val="0"/>
        <w:spacing w:line="560" w:lineRule="exact"/>
        <w:ind w:firstLine="643" w:firstLineChars="200"/>
        <w:rPr>
          <w:rFonts w:hint="default"/>
          <w:lang w:val="en-US" w:eastAsia="zh-CN"/>
        </w:rPr>
      </w:pPr>
      <w:r>
        <w:rPr>
          <w:rFonts w:hint="eastAsia" w:ascii="Times New Roman" w:hAnsi="Times New Roman" w:eastAsia="仿宋_GB2312"/>
          <w:b/>
          <w:color w:val="000000" w:themeColor="text1"/>
          <w:sz w:val="32"/>
          <w:szCs w:val="32"/>
          <w:lang w:val="en-US" w:eastAsia="zh-CN"/>
        </w:rPr>
        <w:t>7</w:t>
      </w:r>
      <w:r>
        <w:rPr>
          <w:rFonts w:ascii="Times New Roman" w:hAnsi="Times New Roman" w:eastAsia="仿宋_GB2312"/>
          <w:b/>
          <w:color w:val="000000" w:themeColor="text1"/>
          <w:sz w:val="32"/>
          <w:szCs w:val="32"/>
        </w:rPr>
        <w:t>.</w:t>
      </w:r>
      <w:r>
        <w:rPr>
          <w:rFonts w:hint="eastAsia" w:ascii="Times New Roman" w:hAnsi="Times New Roman" w:eastAsia="仿宋_GB2312"/>
          <w:b/>
          <w:color w:val="000000" w:themeColor="text1"/>
          <w:sz w:val="32"/>
          <w:szCs w:val="32"/>
        </w:rPr>
        <w:t>卫生健康</w:t>
      </w:r>
      <w:r>
        <w:rPr>
          <w:rFonts w:ascii="Times New Roman" w:hAnsi="Times New Roman" w:eastAsia="仿宋_GB2312"/>
          <w:b/>
          <w:color w:val="000000" w:themeColor="text1"/>
          <w:sz w:val="32"/>
          <w:szCs w:val="32"/>
        </w:rPr>
        <w:t>支出（类）行政事业单位</w:t>
      </w:r>
      <w:r>
        <w:rPr>
          <w:rFonts w:hint="eastAsia" w:ascii="Times New Roman" w:hAnsi="Times New Roman" w:eastAsia="仿宋_GB2312"/>
          <w:b/>
          <w:color w:val="000000" w:themeColor="text1"/>
          <w:sz w:val="32"/>
          <w:szCs w:val="32"/>
        </w:rPr>
        <w:t>医疗</w:t>
      </w:r>
      <w:r>
        <w:rPr>
          <w:rFonts w:ascii="Times New Roman" w:hAnsi="Times New Roman" w:eastAsia="仿宋_GB2312"/>
          <w:b/>
          <w:color w:val="000000" w:themeColor="text1"/>
          <w:sz w:val="32"/>
          <w:szCs w:val="32"/>
        </w:rPr>
        <w:t>（款）</w:t>
      </w:r>
      <w:r>
        <w:rPr>
          <w:rFonts w:hint="eastAsia" w:ascii="Times New Roman" w:hAnsi="Times New Roman" w:eastAsia="仿宋_GB2312"/>
          <w:b/>
          <w:color w:val="000000" w:themeColor="text1"/>
          <w:sz w:val="32"/>
          <w:szCs w:val="32"/>
        </w:rPr>
        <w:t>公务员医疗补助</w:t>
      </w:r>
      <w:r>
        <w:rPr>
          <w:rFonts w:ascii="Times New Roman" w:hAnsi="Times New Roman" w:eastAsia="仿宋_GB2312"/>
          <w:b/>
          <w:color w:val="000000" w:themeColor="text1"/>
          <w:sz w:val="32"/>
          <w:szCs w:val="32"/>
        </w:rPr>
        <w:t>（项）</w:t>
      </w:r>
      <w:r>
        <w:rPr>
          <w:rFonts w:hint="eastAsia" w:ascii="Times New Roman" w:hAnsi="Times New Roman" w:eastAsia="仿宋_GB2312"/>
          <w:color w:val="000000" w:themeColor="text1"/>
          <w:sz w:val="32"/>
          <w:szCs w:val="32"/>
        </w:rPr>
        <w:t>202</w:t>
      </w:r>
      <w:r>
        <w:rPr>
          <w:rFonts w:hint="eastAsia" w:ascii="Times New Roman" w:hAnsi="Times New Roman" w:eastAsia="仿宋_GB2312"/>
          <w:color w:val="000000" w:themeColor="text1"/>
          <w:sz w:val="32"/>
          <w:szCs w:val="32"/>
          <w:lang w:val="en-US" w:eastAsia="zh-CN"/>
        </w:rPr>
        <w:t>3</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13.50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w:t>
      </w:r>
      <w:r>
        <w:rPr>
          <w:rFonts w:hint="eastAsia" w:ascii="Times New Roman" w:hAnsi="Times New Roman" w:eastAsia="仿宋_GB2312"/>
          <w:color w:val="000000" w:themeColor="text1"/>
          <w:sz w:val="32"/>
          <w:szCs w:val="32"/>
          <w:lang w:val="en-US" w:eastAsia="zh-CN"/>
        </w:rPr>
        <w:t>2</w:t>
      </w:r>
      <w:r>
        <w:rPr>
          <w:rFonts w:hint="eastAsia" w:ascii="Times New Roman" w:hAnsi="Times New Roman" w:eastAsia="仿宋_GB2312"/>
          <w:color w:val="000000" w:themeColor="text1"/>
          <w:sz w:val="32"/>
          <w:szCs w:val="32"/>
        </w:rPr>
        <w:t>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0.34</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2.58</w:t>
      </w:r>
      <w:r>
        <w:rPr>
          <w:rFonts w:ascii="Times New Roman" w:hAnsi="Times New Roman" w:eastAsia="仿宋_GB2312"/>
          <w:color w:val="000000" w:themeColor="text1"/>
          <w:sz w:val="32"/>
          <w:szCs w:val="32"/>
        </w:rPr>
        <w:t>%，增长原因主要是</w:t>
      </w:r>
      <w:r>
        <w:rPr>
          <w:rFonts w:hint="eastAsia" w:ascii="Times New Roman" w:hAnsi="Times New Roman" w:eastAsia="仿宋_GB2312"/>
          <w:color w:val="000000" w:themeColor="text1"/>
          <w:sz w:val="32"/>
          <w:szCs w:val="32"/>
          <w:lang w:eastAsia="zh-CN"/>
        </w:rPr>
        <w:t>工资的正常晋级晋档</w:t>
      </w:r>
      <w:r>
        <w:rPr>
          <w:rFonts w:ascii="Times New Roman" w:hAnsi="Times New Roman" w:eastAsia="仿宋_GB2312"/>
          <w:color w:val="000000" w:themeColor="text1"/>
          <w:sz w:val="32"/>
          <w:szCs w:val="32"/>
        </w:rPr>
        <w:t>。</w:t>
      </w:r>
    </w:p>
    <w:p w14:paraId="439257F9">
      <w:pPr>
        <w:adjustRightInd w:val="0"/>
        <w:snapToGrid w:val="0"/>
        <w:spacing w:line="560" w:lineRule="exact"/>
        <w:ind w:firstLine="643" w:firstLineChars="200"/>
        <w:rPr>
          <w:rFonts w:ascii="Times New Roman" w:hAnsi="Times New Roman" w:eastAsia="仿宋_GB2312"/>
          <w:color w:val="000000" w:themeColor="text1"/>
          <w:sz w:val="32"/>
          <w:szCs w:val="32"/>
        </w:rPr>
      </w:pPr>
      <w:r>
        <w:rPr>
          <w:rFonts w:hint="eastAsia" w:ascii="Times New Roman" w:hAnsi="Times New Roman" w:eastAsia="仿宋_GB2312"/>
          <w:b/>
          <w:color w:val="000000" w:themeColor="text1"/>
          <w:sz w:val="32"/>
          <w:szCs w:val="32"/>
          <w:lang w:val="en-US" w:eastAsia="zh-CN"/>
        </w:rPr>
        <w:t>7</w:t>
      </w:r>
      <w:r>
        <w:rPr>
          <w:rFonts w:ascii="Times New Roman" w:hAnsi="Times New Roman" w:eastAsia="仿宋_GB2312"/>
          <w:b/>
          <w:color w:val="000000" w:themeColor="text1"/>
          <w:sz w:val="32"/>
          <w:szCs w:val="32"/>
        </w:rPr>
        <w:t>.住房保障支出（类）住房改革支出（款）住房公积金（项）</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val="en-US" w:eastAsia="zh-CN"/>
        </w:rPr>
        <w:t>74.86</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预算增加</w:t>
      </w:r>
      <w:r>
        <w:rPr>
          <w:rFonts w:hint="eastAsia" w:ascii="Times New Roman" w:hAnsi="Times New Roman" w:eastAsia="仿宋_GB2312"/>
          <w:color w:val="000000" w:themeColor="text1"/>
          <w:sz w:val="32"/>
          <w:szCs w:val="32"/>
          <w:lang w:val="en-US" w:eastAsia="zh-CN"/>
        </w:rPr>
        <w:t>39.53</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111.89</w:t>
      </w:r>
      <w:r>
        <w:rPr>
          <w:rFonts w:ascii="Times New Roman" w:hAnsi="Times New Roman" w:eastAsia="仿宋_GB2312"/>
          <w:color w:val="000000" w:themeColor="text1"/>
          <w:sz w:val="32"/>
          <w:szCs w:val="32"/>
        </w:rPr>
        <w:t>%，增长原因主要</w:t>
      </w:r>
      <w:r>
        <w:rPr>
          <w:rFonts w:hint="eastAsia" w:ascii="Times New Roman" w:hAnsi="Times New Roman" w:eastAsia="仿宋_GB2312"/>
          <w:color w:val="000000" w:themeColor="text1"/>
          <w:sz w:val="32"/>
          <w:szCs w:val="32"/>
          <w:lang w:eastAsia="zh-CN"/>
        </w:rPr>
        <w:t>是去年部分公积金未纳入预算，</w:t>
      </w:r>
      <w:r>
        <w:rPr>
          <w:rFonts w:hint="eastAsia" w:ascii="Times New Roman" w:hAnsi="Times New Roman" w:eastAsia="仿宋_GB2312"/>
          <w:color w:val="000000" w:themeColor="text1"/>
          <w:sz w:val="32"/>
          <w:szCs w:val="32"/>
          <w:lang w:val="en-US" w:eastAsia="zh-CN"/>
        </w:rPr>
        <w:t>今年全部纳入预算公积金增加</w:t>
      </w:r>
      <w:r>
        <w:rPr>
          <w:rFonts w:ascii="Times New Roman" w:hAnsi="Times New Roman" w:eastAsia="仿宋_GB2312"/>
          <w:color w:val="000000" w:themeColor="text1"/>
          <w:sz w:val="32"/>
          <w:szCs w:val="32"/>
        </w:rPr>
        <w:t>。</w:t>
      </w:r>
    </w:p>
    <w:p w14:paraId="76197F88">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六</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一般公共预算基本支出</w:t>
      </w:r>
      <w:r>
        <w:rPr>
          <w:rFonts w:hint="eastAsia" w:ascii="Times New Roman" w:hAnsi="Times New Roman" w:eastAsia="黑体"/>
          <w:color w:val="000000" w:themeColor="text1"/>
          <w:sz w:val="32"/>
          <w:szCs w:val="32"/>
        </w:rPr>
        <w:t>表的</w:t>
      </w:r>
      <w:r>
        <w:rPr>
          <w:rFonts w:ascii="Times New Roman" w:hAnsi="Times New Roman" w:eastAsia="黑体"/>
          <w:color w:val="000000" w:themeColor="text1"/>
          <w:sz w:val="32"/>
          <w:szCs w:val="32"/>
        </w:rPr>
        <w:t>说明</w:t>
      </w:r>
    </w:p>
    <w:p w14:paraId="58FB97D7">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一般公共预算基本支出</w:t>
      </w:r>
      <w:r>
        <w:rPr>
          <w:rFonts w:hint="eastAsia" w:ascii="Times New Roman" w:hAnsi="Times New Roman" w:eastAsia="仿宋_GB2312"/>
          <w:color w:val="000000" w:themeColor="text1"/>
          <w:sz w:val="32"/>
          <w:szCs w:val="32"/>
          <w:lang w:val="en-US" w:eastAsia="zh-CN"/>
        </w:rPr>
        <w:t>1076.97</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其中，人员经费</w:t>
      </w:r>
      <w:r>
        <w:rPr>
          <w:rFonts w:hint="eastAsia" w:ascii="Times New Roman" w:hAnsi="Times New Roman" w:eastAsia="仿宋_GB2312"/>
          <w:color w:val="000000" w:themeColor="text1"/>
          <w:sz w:val="32"/>
          <w:szCs w:val="32"/>
          <w:lang w:val="en-US" w:eastAsia="zh-CN"/>
        </w:rPr>
        <w:t>922</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89</w:t>
      </w:r>
      <w:r>
        <w:rPr>
          <w:rFonts w:hint="eastAsia" w:ascii="Times New Roman" w:hAnsi="Times New Roman" w:eastAsia="仿宋_GB2312"/>
          <w:color w:val="000000" w:themeColor="text1"/>
          <w:sz w:val="32"/>
          <w:szCs w:val="32"/>
        </w:rPr>
        <w:t>万元，公用经费</w:t>
      </w:r>
      <w:r>
        <w:rPr>
          <w:rFonts w:hint="eastAsia" w:ascii="Times New Roman" w:hAnsi="Times New Roman" w:eastAsia="仿宋_GB2312"/>
          <w:color w:val="000000" w:themeColor="text1"/>
          <w:sz w:val="32"/>
          <w:szCs w:val="32"/>
          <w:lang w:val="en-US" w:eastAsia="zh-CN"/>
        </w:rPr>
        <w:t>154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08</w:t>
      </w:r>
      <w:r>
        <w:rPr>
          <w:rFonts w:hint="eastAsia" w:ascii="Times New Roman" w:hAnsi="Times New Roman" w:eastAsia="仿宋_GB2312"/>
          <w:color w:val="000000" w:themeColor="text1"/>
          <w:sz w:val="32"/>
          <w:szCs w:val="32"/>
        </w:rPr>
        <w:t>万元。</w:t>
      </w:r>
    </w:p>
    <w:p w14:paraId="5A9408DE">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（一）人员经费</w:t>
      </w:r>
      <w:r>
        <w:rPr>
          <w:rFonts w:hint="eastAsia" w:ascii="Times New Roman" w:hAnsi="Times New Roman" w:eastAsia="仿宋_GB2312"/>
          <w:color w:val="000000" w:themeColor="text1"/>
          <w:sz w:val="32"/>
          <w:szCs w:val="32"/>
          <w:lang w:val="en-US" w:eastAsia="zh-CN"/>
        </w:rPr>
        <w:t>922</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89</w:t>
      </w:r>
      <w:r>
        <w:rPr>
          <w:rFonts w:hint="eastAsia" w:ascii="Times New Roman" w:hAnsi="Times New Roman" w:eastAsia="仿宋_GB2312"/>
          <w:color w:val="000000" w:themeColor="text1"/>
          <w:sz w:val="32"/>
          <w:szCs w:val="32"/>
        </w:rPr>
        <w:t>万元，主要包括:基本工资、津贴补贴、奖金、机关事业单位基本养老保险费、职业年金缴费、职工基本医疗保险缴费、其他社会保障缴费、住房公积金、</w:t>
      </w:r>
      <w:r>
        <w:rPr>
          <w:rFonts w:hint="eastAsia" w:ascii="Times New Roman" w:hAnsi="Times New Roman" w:eastAsia="仿宋_GB2312"/>
          <w:color w:val="000000" w:themeColor="text1"/>
          <w:sz w:val="32"/>
          <w:szCs w:val="32"/>
          <w:lang w:eastAsia="zh-CN"/>
        </w:rPr>
        <w:t>医疗费、</w:t>
      </w:r>
      <w:r>
        <w:rPr>
          <w:rFonts w:hint="eastAsia" w:ascii="Times New Roman" w:hAnsi="Times New Roman" w:eastAsia="仿宋_GB2312"/>
          <w:color w:val="000000" w:themeColor="text1"/>
          <w:sz w:val="32"/>
          <w:szCs w:val="32"/>
        </w:rPr>
        <w:t>其他工资福利支出</w:t>
      </w:r>
      <w:r>
        <w:rPr>
          <w:rFonts w:hint="eastAsia" w:ascii="Times New Roman" w:hAnsi="Times New Roman" w:eastAsia="仿宋_GB2312"/>
          <w:color w:val="000000" w:themeColor="text1"/>
          <w:sz w:val="32"/>
          <w:szCs w:val="32"/>
          <w:lang w:eastAsia="zh-CN"/>
        </w:rPr>
        <w:t>、</w:t>
      </w:r>
      <w:r>
        <w:rPr>
          <w:rFonts w:hint="eastAsia" w:ascii="Times New Roman" w:hAnsi="Times New Roman" w:eastAsia="仿宋_GB2312"/>
          <w:color w:val="000000" w:themeColor="text1"/>
          <w:sz w:val="32"/>
          <w:szCs w:val="32"/>
          <w:lang w:val="en-US" w:eastAsia="zh-CN"/>
        </w:rPr>
        <w:t>生活补助、</w:t>
      </w:r>
      <w:r>
        <w:rPr>
          <w:rFonts w:hint="eastAsia" w:ascii="Times New Roman" w:hAnsi="Times New Roman" w:eastAsia="仿宋_GB2312"/>
          <w:color w:val="000000" w:themeColor="text1"/>
          <w:sz w:val="32"/>
          <w:szCs w:val="32"/>
        </w:rPr>
        <w:t>对其他个人和家庭的补助支出等。</w:t>
      </w:r>
    </w:p>
    <w:p w14:paraId="3BF6ABDB">
      <w:pPr>
        <w:spacing w:line="560" w:lineRule="exact"/>
        <w:ind w:firstLine="640" w:firstLineChars="200"/>
        <w:rPr>
          <w:rFonts w:ascii="Times New Roman" w:hAnsi="Times New Roman" w:eastAsia="楷体_GB2312"/>
          <w:color w:val="FF0000"/>
          <w:sz w:val="32"/>
          <w:szCs w:val="32"/>
        </w:rPr>
      </w:pPr>
      <w:r>
        <w:rPr>
          <w:rFonts w:hint="eastAsia" w:ascii="Times New Roman" w:hAnsi="Times New Roman" w:eastAsia="仿宋_GB2312"/>
          <w:color w:val="000000" w:themeColor="text1"/>
          <w:sz w:val="32"/>
          <w:szCs w:val="32"/>
        </w:rPr>
        <w:t>（二）公用经费</w:t>
      </w:r>
      <w:r>
        <w:rPr>
          <w:rFonts w:hint="eastAsia" w:ascii="Times New Roman" w:hAnsi="Times New Roman" w:eastAsia="仿宋_GB2312"/>
          <w:color w:val="000000" w:themeColor="text1"/>
          <w:sz w:val="32"/>
          <w:szCs w:val="32"/>
          <w:lang w:val="en-US" w:eastAsia="zh-CN"/>
        </w:rPr>
        <w:t>154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08</w:t>
      </w:r>
      <w:r>
        <w:rPr>
          <w:rFonts w:hint="eastAsia" w:ascii="Times New Roman" w:hAnsi="Times New Roman" w:eastAsia="仿宋_GB2312"/>
          <w:color w:val="000000" w:themeColor="text1"/>
          <w:sz w:val="32"/>
          <w:szCs w:val="32"/>
        </w:rPr>
        <w:t>万元，主要包括：办公费、印刷费、水费、电费、邮电费、物业管理费、差旅费、维修（护）费、会议费、培训费、公务接待费、劳务费、公务用车运行维护费、其他交通费用、其他商品服务支出等。</w:t>
      </w:r>
    </w:p>
    <w:p w14:paraId="5BBFBD4D">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七</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政府性基金预算拨款情况说明</w:t>
      </w:r>
    </w:p>
    <w:p w14:paraId="05A973D3">
      <w:pPr>
        <w:pStyle w:val="7"/>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rPr>
        <w:t>2023年</w:t>
      </w:r>
      <w:r>
        <w:rPr>
          <w:rFonts w:ascii="Times New Roman" w:hAnsi="Times New Roman" w:eastAsia="仿宋_GB2312" w:cs="Times New Roman"/>
          <w:color w:val="000000" w:themeColor="text1"/>
          <w:sz w:val="32"/>
          <w:szCs w:val="32"/>
        </w:rPr>
        <w:t>没有政府性基金预算拨款收入，也没有使用政府性基金预算拨款安排的支出。</w:t>
      </w:r>
    </w:p>
    <w:p w14:paraId="305983A4">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八</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国有资本经营预算拨款情况说明</w:t>
      </w:r>
    </w:p>
    <w:p w14:paraId="23D7C7FD">
      <w:pPr>
        <w:pStyle w:val="7"/>
        <w:widowControl w:val="0"/>
        <w:adjustRightInd w:val="0"/>
        <w:snapToGrid w:val="0"/>
        <w:spacing w:before="0" w:beforeAutospacing="0" w:after="0" w:afterAutospacing="0" w:line="560" w:lineRule="exact"/>
        <w:ind w:firstLine="640" w:firstLineChars="200"/>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rPr>
        <w:t>2023年</w:t>
      </w:r>
      <w:r>
        <w:rPr>
          <w:rFonts w:ascii="Times New Roman" w:hAnsi="Times New Roman" w:eastAsia="仿宋_GB2312" w:cs="Times New Roman"/>
          <w:color w:val="000000" w:themeColor="text1"/>
          <w:sz w:val="32"/>
          <w:szCs w:val="32"/>
        </w:rPr>
        <w:t>没有国有资本经营预算拨款收入，也没有使用国有资本经营预算拨款安排的支出。</w:t>
      </w:r>
    </w:p>
    <w:p w14:paraId="2F14FC4B">
      <w:pPr>
        <w:pStyle w:val="7"/>
        <w:adjustRightInd w:val="0"/>
        <w:snapToGrid w:val="0"/>
        <w:spacing w:before="0" w:beforeAutospacing="0" w:after="0" w:afterAutospacing="0" w:line="560" w:lineRule="exact"/>
        <w:ind w:firstLine="640" w:firstLineChars="200"/>
        <w:rPr>
          <w:rFonts w:ascii="Times New Roman" w:hAnsi="Times New Roman" w:eastAsia="黑体" w:cs="Times New Roman"/>
          <w:color w:val="000000" w:themeColor="text1"/>
          <w:kern w:val="2"/>
          <w:sz w:val="32"/>
          <w:szCs w:val="32"/>
        </w:rPr>
      </w:pPr>
      <w:r>
        <w:rPr>
          <w:rFonts w:hint="eastAsia" w:ascii="Times New Roman" w:hAnsi="Times New Roman" w:eastAsia="黑体" w:cs="Times New Roman"/>
          <w:color w:val="000000" w:themeColor="text1"/>
          <w:kern w:val="2"/>
          <w:sz w:val="32"/>
          <w:szCs w:val="32"/>
        </w:rPr>
        <w:t>九、关于2023年项目支出表的说明</w:t>
      </w:r>
    </w:p>
    <w:p w14:paraId="4CD3EC28">
      <w:pPr>
        <w:pStyle w:val="7"/>
        <w:widowControl w:val="0"/>
        <w:adjustRightInd w:val="0"/>
        <w:snapToGrid w:val="0"/>
        <w:spacing w:before="0" w:beforeAutospacing="0" w:after="0" w:afterAutospacing="0" w:line="560" w:lineRule="exact"/>
        <w:ind w:firstLine="627" w:firstLineChars="196"/>
        <w:jc w:val="both"/>
        <w:rPr>
          <w:rFonts w:hint="eastAsia" w:ascii="Times New Roman" w:hAnsi="Times New Roman" w:eastAsia="仿宋_GB2312" w:cs="Times New Roman"/>
          <w:color w:val="000000" w:themeColor="text1"/>
          <w:sz w:val="32"/>
          <w:szCs w:val="32"/>
          <w:lang w:eastAsia="zh-CN"/>
        </w:rPr>
      </w:pP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rPr>
        <w:t>2023年预算共安排项目支出</w:t>
      </w:r>
      <w:r>
        <w:rPr>
          <w:rFonts w:hint="eastAsia" w:ascii="Times New Roman" w:hAnsi="Times New Roman" w:eastAsia="仿宋_GB2312" w:cs="Times New Roman"/>
          <w:color w:val="000000" w:themeColor="text1"/>
          <w:sz w:val="32"/>
          <w:szCs w:val="32"/>
          <w:lang w:val="en-US" w:eastAsia="zh-CN"/>
        </w:rPr>
        <w:t>37.41</w:t>
      </w:r>
      <w:r>
        <w:rPr>
          <w:rFonts w:hint="eastAsia" w:ascii="Times New Roman" w:hAnsi="Times New Roman" w:eastAsia="仿宋_GB2312" w:cs="Times New Roman"/>
          <w:color w:val="000000" w:themeColor="text1"/>
          <w:sz w:val="32"/>
          <w:szCs w:val="32"/>
        </w:rPr>
        <w:t>万元，较2022年预算减少</w:t>
      </w:r>
      <w:r>
        <w:rPr>
          <w:rFonts w:hint="eastAsia" w:ascii="Times New Roman" w:hAnsi="Times New Roman" w:eastAsia="仿宋_GB2312" w:cs="Times New Roman"/>
          <w:color w:val="000000" w:themeColor="text1"/>
          <w:sz w:val="32"/>
          <w:szCs w:val="32"/>
          <w:lang w:val="en-US" w:eastAsia="zh-CN"/>
        </w:rPr>
        <w:t>239.59</w:t>
      </w:r>
      <w:r>
        <w:rPr>
          <w:rFonts w:hint="eastAsia" w:ascii="Times New Roman" w:hAnsi="Times New Roman" w:eastAsia="仿宋_GB2312" w:cs="Times New Roman"/>
          <w:color w:val="000000" w:themeColor="text1"/>
          <w:sz w:val="32"/>
          <w:szCs w:val="32"/>
        </w:rPr>
        <w:t>万元，下降</w:t>
      </w:r>
      <w:r>
        <w:rPr>
          <w:rFonts w:hint="eastAsia" w:ascii="Times New Roman" w:hAnsi="Times New Roman" w:eastAsia="仿宋_GB2312" w:cs="Times New Roman"/>
          <w:color w:val="000000" w:themeColor="text1"/>
          <w:sz w:val="32"/>
          <w:szCs w:val="32"/>
          <w:lang w:val="en-US" w:eastAsia="zh-CN"/>
        </w:rPr>
        <w:t>86</w:t>
      </w:r>
      <w:r>
        <w:rPr>
          <w:rFonts w:hint="eastAsia" w:ascii="Times New Roman" w:hAnsi="Times New Roman" w:eastAsia="仿宋_GB2312" w:cs="Times New Roman"/>
          <w:color w:val="000000" w:themeColor="text1"/>
          <w:sz w:val="32"/>
          <w:szCs w:val="32"/>
        </w:rPr>
        <w:t>.</w:t>
      </w:r>
      <w:r>
        <w:rPr>
          <w:rFonts w:hint="eastAsia" w:ascii="Times New Roman" w:hAnsi="Times New Roman" w:eastAsia="仿宋_GB2312" w:cs="Times New Roman"/>
          <w:color w:val="000000" w:themeColor="text1"/>
          <w:sz w:val="32"/>
          <w:szCs w:val="32"/>
          <w:lang w:val="en-US" w:eastAsia="zh-CN"/>
        </w:rPr>
        <w:t>49</w:t>
      </w:r>
      <w:r>
        <w:rPr>
          <w:rFonts w:hint="eastAsia" w:ascii="Times New Roman" w:hAnsi="Times New Roman" w:eastAsia="仿宋_GB2312" w:cs="Times New Roman"/>
          <w:color w:val="000000" w:themeColor="text1"/>
          <w:sz w:val="32"/>
          <w:szCs w:val="32"/>
        </w:rPr>
        <w:t>%，下降原因主要是</w:t>
      </w:r>
      <w:r>
        <w:rPr>
          <w:rFonts w:hint="eastAsia" w:ascii="Times New Roman" w:hAnsi="Times New Roman" w:eastAsia="仿宋_GB2312" w:cs="Times New Roman"/>
          <w:color w:val="000000" w:themeColor="text1"/>
          <w:sz w:val="32"/>
          <w:szCs w:val="32"/>
          <w:lang w:eastAsia="zh-CN"/>
        </w:rPr>
        <w:t>本年中央政法转移支付资金和办案业务费未纳入项目预算</w:t>
      </w:r>
      <w:r>
        <w:rPr>
          <w:rFonts w:hint="eastAsia" w:ascii="Times New Roman" w:hAnsi="Times New Roman" w:eastAsia="仿宋_GB2312" w:cs="Times New Roman"/>
          <w:color w:val="000000" w:themeColor="text1"/>
          <w:sz w:val="32"/>
          <w:szCs w:val="32"/>
        </w:rPr>
        <w:t>。</w:t>
      </w:r>
      <w:r>
        <w:rPr>
          <w:rFonts w:hint="default" w:ascii="Times New Roman" w:hAnsi="Times New Roman" w:eastAsia="仿宋_GB2312" w:cs="Times New Roman"/>
          <w:color w:val="000000" w:themeColor="text1"/>
          <w:sz w:val="32"/>
          <w:szCs w:val="32"/>
        </w:rPr>
        <w:t>主要包括：本年财政拨款安排</w:t>
      </w:r>
      <w:r>
        <w:rPr>
          <w:rFonts w:hint="eastAsia" w:ascii="Times New Roman" w:hAnsi="Times New Roman" w:eastAsia="仿宋_GB2312" w:cs="Times New Roman"/>
          <w:color w:val="000000" w:themeColor="text1"/>
          <w:sz w:val="32"/>
          <w:szCs w:val="32"/>
          <w:lang w:val="en-US" w:eastAsia="zh-CN"/>
        </w:rPr>
        <w:t>0</w:t>
      </w:r>
      <w:r>
        <w:rPr>
          <w:rFonts w:hint="default" w:ascii="Times New Roman" w:hAnsi="Times New Roman" w:eastAsia="仿宋_GB2312" w:cs="Times New Roman"/>
          <w:color w:val="000000" w:themeColor="text1"/>
          <w:sz w:val="32"/>
          <w:szCs w:val="32"/>
        </w:rPr>
        <w:t xml:space="preserve">万元 </w:t>
      </w:r>
      <w:r>
        <w:rPr>
          <w:rFonts w:hint="eastAsia" w:ascii="Times New Roman" w:hAnsi="Times New Roman" w:eastAsia="仿宋_GB2312" w:cs="Times New Roman"/>
          <w:color w:val="000000" w:themeColor="text1"/>
          <w:sz w:val="32"/>
          <w:szCs w:val="32"/>
        </w:rPr>
        <w:t>（其中，一般公共预算拨款安排</w:t>
      </w:r>
      <w:r>
        <w:rPr>
          <w:rFonts w:hint="eastAsia" w:ascii="Times New Roman" w:hAnsi="Times New Roman" w:eastAsia="仿宋_GB2312" w:cs="Times New Roman"/>
          <w:color w:val="000000" w:themeColor="text1"/>
          <w:sz w:val="32"/>
          <w:szCs w:val="32"/>
          <w:lang w:val="en-US" w:eastAsia="zh-CN"/>
        </w:rPr>
        <w:t>0</w:t>
      </w:r>
      <w:r>
        <w:rPr>
          <w:rFonts w:hint="eastAsia" w:ascii="Times New Roman" w:hAnsi="Times New Roman" w:eastAsia="仿宋_GB2312" w:cs="Times New Roman"/>
          <w:color w:val="000000" w:themeColor="text1"/>
          <w:sz w:val="32"/>
          <w:szCs w:val="32"/>
        </w:rPr>
        <w:t>万元，政府性基金预算拨款安排</w:t>
      </w:r>
      <w:r>
        <w:rPr>
          <w:rFonts w:hint="eastAsia" w:ascii="Times New Roman" w:hAnsi="Times New Roman" w:eastAsia="仿宋_GB2312" w:cs="Times New Roman"/>
          <w:color w:val="000000" w:themeColor="text1"/>
          <w:sz w:val="32"/>
          <w:szCs w:val="32"/>
          <w:lang w:val="en-US" w:eastAsia="zh-CN"/>
        </w:rPr>
        <w:t>0</w:t>
      </w:r>
      <w:r>
        <w:rPr>
          <w:rFonts w:hint="eastAsia" w:ascii="Times New Roman" w:hAnsi="Times New Roman" w:eastAsia="仿宋_GB2312" w:cs="Times New Roman"/>
          <w:color w:val="000000" w:themeColor="text1"/>
          <w:sz w:val="32"/>
          <w:szCs w:val="32"/>
        </w:rPr>
        <w:t>万元，国有资本经营预算拨款安排</w:t>
      </w:r>
      <w:r>
        <w:rPr>
          <w:rFonts w:hint="eastAsia" w:ascii="Times New Roman" w:hAnsi="Times New Roman" w:eastAsia="仿宋_GB2312" w:cs="Times New Roman"/>
          <w:color w:val="000000" w:themeColor="text1"/>
          <w:sz w:val="32"/>
          <w:szCs w:val="32"/>
          <w:lang w:val="en-US" w:eastAsia="zh-CN"/>
        </w:rPr>
        <w:t>0</w:t>
      </w:r>
      <w:r>
        <w:rPr>
          <w:rFonts w:hint="eastAsia" w:ascii="Times New Roman" w:hAnsi="Times New Roman" w:eastAsia="仿宋_GB2312" w:cs="Times New Roman"/>
          <w:color w:val="000000" w:themeColor="text1"/>
          <w:sz w:val="32"/>
          <w:szCs w:val="32"/>
        </w:rPr>
        <w:t>万元），财政专户管理资金安排</w:t>
      </w:r>
      <w:r>
        <w:rPr>
          <w:rFonts w:hint="eastAsia" w:ascii="Times New Roman" w:hAnsi="Times New Roman" w:eastAsia="仿宋_GB2312" w:cs="Times New Roman"/>
          <w:color w:val="000000" w:themeColor="text1"/>
          <w:sz w:val="32"/>
          <w:szCs w:val="32"/>
          <w:lang w:val="en-US" w:eastAsia="zh-CN"/>
        </w:rPr>
        <w:t>0</w:t>
      </w:r>
      <w:r>
        <w:rPr>
          <w:rFonts w:hint="eastAsia" w:ascii="Times New Roman" w:hAnsi="Times New Roman" w:eastAsia="仿宋_GB2312" w:cs="Times New Roman"/>
          <w:color w:val="000000" w:themeColor="text1"/>
          <w:sz w:val="32"/>
          <w:szCs w:val="32"/>
        </w:rPr>
        <w:t>万元，单位资金安排</w:t>
      </w:r>
      <w:r>
        <w:rPr>
          <w:rFonts w:hint="eastAsia" w:ascii="Times New Roman" w:hAnsi="Times New Roman" w:eastAsia="仿宋_GB2312" w:cs="Times New Roman"/>
          <w:color w:val="000000" w:themeColor="text1"/>
          <w:sz w:val="32"/>
          <w:szCs w:val="32"/>
          <w:lang w:val="en-US" w:eastAsia="zh-CN"/>
        </w:rPr>
        <w:t>0</w:t>
      </w:r>
      <w:r>
        <w:rPr>
          <w:rFonts w:hint="eastAsia" w:ascii="Times New Roman" w:hAnsi="Times New Roman" w:eastAsia="仿宋_GB2312" w:cs="Times New Roman"/>
          <w:color w:val="000000" w:themeColor="text1"/>
          <w:sz w:val="32"/>
          <w:szCs w:val="32"/>
        </w:rPr>
        <w:t xml:space="preserve">万元，财政拨款结转结余安排 </w:t>
      </w:r>
      <w:r>
        <w:rPr>
          <w:rFonts w:hint="eastAsia" w:ascii="Times New Roman" w:hAnsi="Times New Roman" w:eastAsia="仿宋_GB2312" w:cs="Times New Roman"/>
          <w:color w:val="000000" w:themeColor="text1"/>
          <w:sz w:val="32"/>
          <w:szCs w:val="32"/>
          <w:lang w:val="en-US" w:eastAsia="zh-CN"/>
        </w:rPr>
        <w:t>37.41</w:t>
      </w:r>
      <w:r>
        <w:rPr>
          <w:rFonts w:hint="eastAsia" w:ascii="Times New Roman" w:hAnsi="Times New Roman" w:eastAsia="仿宋_GB2312" w:cs="Times New Roman"/>
          <w:color w:val="000000" w:themeColor="text1"/>
          <w:sz w:val="32"/>
          <w:szCs w:val="32"/>
        </w:rPr>
        <w:t>万元。</w:t>
      </w:r>
    </w:p>
    <w:p w14:paraId="692C5AFC">
      <w:pPr>
        <w:pStyle w:val="7"/>
        <w:adjustRightInd w:val="0"/>
        <w:snapToGrid w:val="0"/>
        <w:spacing w:before="0" w:beforeAutospacing="0" w:after="0" w:afterAutospacing="0" w:line="560" w:lineRule="exact"/>
        <w:ind w:firstLine="640" w:firstLineChars="200"/>
        <w:rPr>
          <w:rFonts w:ascii="楷体_GB2312" w:hAnsi="仿宋" w:eastAsia="楷体_GB2312" w:cs="Times New Roman"/>
          <w:color w:val="FF0000"/>
          <w:kern w:val="2"/>
          <w:sz w:val="32"/>
          <w:szCs w:val="32"/>
        </w:rPr>
      </w:pPr>
      <w:r>
        <w:rPr>
          <w:rFonts w:hint="eastAsia" w:ascii="Times New Roman" w:hAnsi="Times New Roman" w:eastAsia="黑体" w:cs="Times New Roman"/>
          <w:color w:val="000000" w:themeColor="text1"/>
          <w:kern w:val="2"/>
          <w:sz w:val="32"/>
          <w:szCs w:val="32"/>
        </w:rPr>
        <w:t>十、关于2023年政府采购支出表的说明</w:t>
      </w:r>
    </w:p>
    <w:p w14:paraId="3AC52EA4">
      <w:pPr>
        <w:pStyle w:val="7"/>
        <w:adjustRightInd w:val="0"/>
        <w:snapToGrid w:val="0"/>
        <w:spacing w:before="0" w:beforeAutospacing="0" w:after="0" w:afterAutospacing="0" w:line="560" w:lineRule="exact"/>
        <w:ind w:firstLine="640" w:firstLineChars="200"/>
        <w:outlineLvl w:val="0"/>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rPr>
        <w:t>2023年没有使用一般公共预算拨款、政府性基金预算拨款、国有资本经营预算拨款、财政专户管理资金和单位资金安排的政府采购支出。</w:t>
      </w:r>
    </w:p>
    <w:p w14:paraId="5F1D227F">
      <w:pPr>
        <w:pStyle w:val="7"/>
        <w:adjustRightInd w:val="0"/>
        <w:snapToGrid w:val="0"/>
        <w:spacing w:before="0" w:beforeAutospacing="0" w:after="0" w:afterAutospacing="0" w:line="560" w:lineRule="exact"/>
        <w:ind w:firstLine="640" w:firstLineChars="200"/>
        <w:rPr>
          <w:rFonts w:ascii="楷体_GB2312" w:hAnsi="仿宋" w:eastAsia="楷体_GB2312" w:cs="Times New Roman"/>
          <w:color w:val="FF0000"/>
          <w:kern w:val="2"/>
          <w:sz w:val="32"/>
          <w:szCs w:val="32"/>
        </w:rPr>
      </w:pPr>
      <w:r>
        <w:rPr>
          <w:rFonts w:hint="eastAsia" w:ascii="黑体" w:hAnsi="仿宋" w:eastAsia="黑体"/>
          <w:sz w:val="32"/>
          <w:szCs w:val="32"/>
        </w:rPr>
        <w:t>十一、关于2023年政府购买服务支出表的说明</w:t>
      </w:r>
    </w:p>
    <w:p w14:paraId="704D148E">
      <w:pPr>
        <w:pStyle w:val="7"/>
        <w:adjustRightInd w:val="0"/>
        <w:snapToGrid w:val="0"/>
        <w:spacing w:before="0" w:beforeAutospacing="0" w:after="0" w:afterAutospacing="0" w:line="560" w:lineRule="exact"/>
        <w:ind w:firstLine="640" w:firstLineChars="200"/>
        <w:outlineLvl w:val="0"/>
        <w:rPr>
          <w:rFonts w:ascii="Times New Roman" w:hAnsi="Times New Roman" w:eastAsia="仿宋_GB2312" w:cs="Times New Roman"/>
          <w:color w:val="000000" w:themeColor="text1"/>
          <w:sz w:val="32"/>
          <w:szCs w:val="32"/>
        </w:rPr>
      </w:pP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rPr>
        <w:t>2023年没有安排政府购买服务支出。</w:t>
      </w:r>
    </w:p>
    <w:p w14:paraId="2B4CA3C4">
      <w:p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十二</w:t>
      </w:r>
      <w:r>
        <w:rPr>
          <w:rFonts w:ascii="Times New Roman" w:hAnsi="Times New Roman" w:eastAsia="黑体"/>
          <w:color w:val="000000" w:themeColor="text1"/>
          <w:sz w:val="32"/>
          <w:szCs w:val="32"/>
        </w:rPr>
        <w:t>、关于</w:t>
      </w:r>
      <w:r>
        <w:rPr>
          <w:rFonts w:hint="eastAsia" w:ascii="Times New Roman" w:hAnsi="Times New Roman" w:eastAsia="黑体"/>
          <w:color w:val="000000" w:themeColor="text1"/>
          <w:sz w:val="32"/>
          <w:szCs w:val="32"/>
        </w:rPr>
        <w:t>2023年</w:t>
      </w:r>
      <w:r>
        <w:rPr>
          <w:rFonts w:ascii="Times New Roman" w:hAnsi="Times New Roman" w:eastAsia="黑体"/>
          <w:color w:val="000000" w:themeColor="text1"/>
          <w:sz w:val="32"/>
          <w:szCs w:val="32"/>
        </w:rPr>
        <w:t>“三公”经费</w:t>
      </w:r>
      <w:r>
        <w:rPr>
          <w:rFonts w:hint="eastAsia" w:ascii="Times New Roman" w:hAnsi="Times New Roman" w:eastAsia="黑体"/>
          <w:color w:val="000000" w:themeColor="text1"/>
          <w:sz w:val="32"/>
          <w:szCs w:val="32"/>
        </w:rPr>
        <w:t>支出</w:t>
      </w:r>
      <w:r>
        <w:rPr>
          <w:rFonts w:ascii="Times New Roman" w:hAnsi="Times New Roman" w:eastAsia="黑体"/>
          <w:color w:val="000000" w:themeColor="text1"/>
          <w:sz w:val="32"/>
          <w:szCs w:val="32"/>
        </w:rPr>
        <w:t>预算情况说明</w:t>
      </w:r>
    </w:p>
    <w:p w14:paraId="14F1F78D">
      <w:pPr>
        <w:spacing w:line="60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2023年</w:t>
      </w:r>
      <w:r>
        <w:rPr>
          <w:rFonts w:ascii="Times New Roman" w:hAnsi="Times New Roman" w:eastAsia="仿宋_GB2312"/>
          <w:color w:val="000000" w:themeColor="text1"/>
          <w:sz w:val="32"/>
          <w:szCs w:val="32"/>
        </w:rPr>
        <w:t>，</w:t>
      </w: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olor w:val="000000" w:themeColor="text1"/>
          <w:sz w:val="32"/>
          <w:szCs w:val="32"/>
        </w:rPr>
        <w:t>一般公共预算财政拨款</w:t>
      </w:r>
      <w:r>
        <w:rPr>
          <w:rFonts w:ascii="Times New Roman" w:hAnsi="Times New Roman" w:eastAsia="仿宋_GB2312"/>
          <w:color w:val="000000" w:themeColor="text1"/>
          <w:sz w:val="32"/>
          <w:szCs w:val="32"/>
        </w:rPr>
        <w:t>“三公”经费支出预算</w:t>
      </w:r>
      <w:r>
        <w:rPr>
          <w:rFonts w:hint="eastAsia" w:ascii="Times New Roman" w:hAnsi="Times New Roman" w:eastAsia="仿宋_GB2312"/>
          <w:color w:val="000000" w:themeColor="text1"/>
          <w:sz w:val="32"/>
          <w:szCs w:val="32"/>
          <w:lang w:val="en-US" w:eastAsia="zh-CN"/>
        </w:rPr>
        <w:t>27</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19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40</w:t>
      </w:r>
      <w:r>
        <w:rPr>
          <w:rFonts w:ascii="Times New Roman" w:hAnsi="Times New Roman" w:eastAsia="仿宋_GB2312"/>
          <w:color w:val="000000" w:themeColor="text1"/>
          <w:sz w:val="32"/>
          <w:szCs w:val="32"/>
        </w:rPr>
        <w:t>万元，下降</w:t>
      </w:r>
      <w:r>
        <w:rPr>
          <w:rFonts w:hint="eastAsia" w:ascii="Times New Roman" w:hAnsi="Times New Roman" w:eastAsia="仿宋_GB2312"/>
          <w:color w:val="000000" w:themeColor="text1"/>
          <w:sz w:val="32"/>
          <w:szCs w:val="32"/>
          <w:lang w:val="en-US" w:eastAsia="zh-CN"/>
        </w:rPr>
        <w:t>41</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10</w:t>
      </w:r>
      <w:r>
        <w:rPr>
          <w:rFonts w:ascii="Times New Roman" w:hAnsi="Times New Roman" w:eastAsia="仿宋_GB2312"/>
          <w:color w:val="000000" w:themeColor="text1"/>
          <w:sz w:val="32"/>
          <w:szCs w:val="32"/>
        </w:rPr>
        <w:t>%。其中因公出国（境）费</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万元，公务接待费</w:t>
      </w:r>
      <w:r>
        <w:rPr>
          <w:rFonts w:hint="eastAsia" w:ascii="Times New Roman" w:hAnsi="Times New Roman" w:eastAsia="仿宋_GB2312"/>
          <w:color w:val="000000" w:themeColor="text1"/>
          <w:sz w:val="32"/>
          <w:szCs w:val="32"/>
          <w:lang w:val="en-US" w:eastAsia="zh-CN"/>
        </w:rPr>
        <w:t>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万元，公务用车购置及运行费</w:t>
      </w:r>
      <w:r>
        <w:rPr>
          <w:rFonts w:hint="eastAsia" w:ascii="Times New Roman" w:hAnsi="Times New Roman" w:eastAsia="仿宋_GB2312"/>
          <w:color w:val="000000" w:themeColor="text1"/>
          <w:sz w:val="32"/>
          <w:szCs w:val="32"/>
          <w:lang w:val="en-US" w:eastAsia="zh-CN"/>
        </w:rPr>
        <w:t>18.00</w:t>
      </w:r>
      <w:r>
        <w:rPr>
          <w:rFonts w:ascii="Times New Roman" w:hAnsi="Times New Roman" w:eastAsia="仿宋_GB2312"/>
          <w:color w:val="000000" w:themeColor="text1"/>
          <w:sz w:val="32"/>
          <w:szCs w:val="32"/>
        </w:rPr>
        <w:t>万元。具体情况如下：</w:t>
      </w:r>
    </w:p>
    <w:p w14:paraId="0D170E29">
      <w:pPr>
        <w:spacing w:line="60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（一）因公出国（境）费。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rPr>
        <w:t>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较上年预算持平，主要原因是</w:t>
      </w:r>
      <w:r>
        <w:rPr>
          <w:rFonts w:hint="eastAsia" w:ascii="Times New Roman" w:hAnsi="Times New Roman" w:eastAsia="仿宋_GB2312"/>
          <w:color w:val="000000" w:themeColor="text1"/>
          <w:sz w:val="32"/>
          <w:szCs w:val="32"/>
          <w:lang w:eastAsia="zh-CN"/>
        </w:rPr>
        <w:t>上年和本年均未安排预算，</w:t>
      </w:r>
      <w:r>
        <w:rPr>
          <w:rFonts w:hint="eastAsia" w:ascii="Times New Roman" w:hAnsi="Times New Roman" w:eastAsia="仿宋_GB2312"/>
          <w:color w:val="000000" w:themeColor="text1"/>
          <w:sz w:val="32"/>
          <w:szCs w:val="32"/>
        </w:rPr>
        <w:t>经费使用贯彻落实中央八项规定和县委县政府20条要求。</w:t>
      </w:r>
    </w:p>
    <w:p w14:paraId="03E2410D">
      <w:pPr>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（二）公务接待费。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lang w:val="en-US" w:eastAsia="zh-CN"/>
        </w:rPr>
        <w:t>9</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80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w:t>
      </w:r>
      <w:r>
        <w:rPr>
          <w:rFonts w:hint="eastAsia" w:ascii="Times New Roman" w:hAnsi="Times New Roman" w:eastAsia="仿宋_GB2312"/>
          <w:color w:val="000000" w:themeColor="text1"/>
          <w:sz w:val="32"/>
          <w:szCs w:val="32"/>
          <w:lang w:eastAsia="zh-CN"/>
        </w:rPr>
        <w:t>增加</w:t>
      </w:r>
      <w:r>
        <w:rPr>
          <w:rFonts w:ascii="Times New Roman" w:hAnsi="Times New Roman" w:eastAsia="仿宋_GB2312"/>
          <w:color w:val="000000" w:themeColor="text1"/>
          <w:sz w:val="32"/>
          <w:szCs w:val="32"/>
        </w:rPr>
        <w:t xml:space="preserve"> </w:t>
      </w:r>
      <w:r>
        <w:rPr>
          <w:rFonts w:hint="eastAsia" w:ascii="Times New Roman" w:hAnsi="Times New Roman" w:eastAsia="仿宋_GB2312"/>
          <w:color w:val="000000" w:themeColor="text1"/>
          <w:sz w:val="32"/>
          <w:szCs w:val="32"/>
          <w:lang w:val="en-US" w:eastAsia="zh-CN"/>
        </w:rPr>
        <w:t>5</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60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lang w:eastAsia="zh-CN"/>
        </w:rPr>
        <w:t>增</w:t>
      </w:r>
      <w:r>
        <w:rPr>
          <w:rFonts w:hint="eastAsia" w:ascii="Times New Roman" w:hAnsi="Times New Roman" w:eastAsia="仿宋_GB2312"/>
          <w:color w:val="000000" w:themeColor="text1"/>
          <w:sz w:val="32"/>
          <w:szCs w:val="32"/>
          <w:lang w:val="en-US" w:eastAsia="zh-CN"/>
        </w:rPr>
        <w:t>长133</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33</w:t>
      </w:r>
      <w:r>
        <w:rPr>
          <w:rFonts w:ascii="Times New Roman" w:hAnsi="Times New Roman" w:eastAsia="仿宋_GB2312"/>
          <w:color w:val="000000" w:themeColor="text1"/>
          <w:sz w:val="32"/>
          <w:szCs w:val="32"/>
        </w:rPr>
        <w:t>%，主要原因</w:t>
      </w:r>
      <w:r>
        <w:rPr>
          <w:rFonts w:hint="eastAsia" w:ascii="Times New Roman" w:hAnsi="Times New Roman" w:eastAsia="仿宋_GB2312"/>
          <w:color w:val="000000" w:themeColor="text1"/>
          <w:sz w:val="32"/>
          <w:szCs w:val="32"/>
          <w:lang w:eastAsia="zh-CN"/>
        </w:rPr>
        <w:t>是上</w:t>
      </w:r>
      <w:r>
        <w:rPr>
          <w:rFonts w:hint="eastAsia" w:ascii="Times New Roman" w:hAnsi="Times New Roman" w:eastAsia="仿宋_GB2312"/>
          <w:color w:val="000000" w:themeColor="text1"/>
          <w:sz w:val="32"/>
          <w:szCs w:val="32"/>
          <w:lang w:val="en-US" w:eastAsia="zh-CN"/>
        </w:rPr>
        <w:t>年为财政拨款口径，本年为全口径</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经费使用贯彻落实中央八项规定和严格执行县直机关公务接待费管理办法规定。</w:t>
      </w:r>
    </w:p>
    <w:p w14:paraId="7B17D165">
      <w:pPr>
        <w:spacing w:line="560" w:lineRule="exact"/>
        <w:ind w:firstLine="643" w:firstLineChars="200"/>
        <w:rPr>
          <w:rFonts w:ascii="Times New Roman" w:hAnsi="Times New Roman" w:eastAsia="仿宋_GB2312"/>
          <w:color w:val="000000" w:themeColor="text1"/>
          <w:sz w:val="32"/>
          <w:szCs w:val="32"/>
        </w:rPr>
      </w:pPr>
      <w:r>
        <w:rPr>
          <w:rFonts w:ascii="Times New Roman" w:hAnsi="Times New Roman" w:eastAsia="仿宋_GB2312"/>
          <w:b/>
          <w:color w:val="000000" w:themeColor="text1"/>
          <w:sz w:val="32"/>
          <w:szCs w:val="32"/>
        </w:rPr>
        <w:t>（三）公务用车购置及运行费。</w:t>
      </w:r>
      <w:r>
        <w:rPr>
          <w:rFonts w:ascii="Times New Roman" w:hAnsi="Times New Roman" w:eastAsia="仿宋_GB2312"/>
          <w:color w:val="000000" w:themeColor="text1"/>
          <w:sz w:val="32"/>
          <w:szCs w:val="32"/>
        </w:rPr>
        <w:t>支出预算</w:t>
      </w:r>
      <w:r>
        <w:rPr>
          <w:rFonts w:hint="eastAsia" w:ascii="Times New Roman" w:hAnsi="Times New Roman" w:eastAsia="仿宋_GB2312"/>
          <w:color w:val="000000" w:themeColor="text1"/>
          <w:sz w:val="32"/>
          <w:szCs w:val="32"/>
          <w:lang w:val="en-US" w:eastAsia="zh-CN"/>
        </w:rPr>
        <w:t>18</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25万元</w:t>
      </w:r>
      <w:r>
        <w:rPr>
          <w:rFonts w:ascii="Times New Roman" w:hAnsi="Times New Roman" w:eastAsia="仿宋_GB2312"/>
          <w:color w:val="000000" w:themeColor="text1"/>
          <w:sz w:val="32"/>
          <w:szCs w:val="32"/>
        </w:rPr>
        <w:t>，下降</w:t>
      </w:r>
      <w:r>
        <w:rPr>
          <w:rFonts w:hint="eastAsia" w:ascii="Times New Roman" w:hAnsi="Times New Roman" w:eastAsia="仿宋_GB2312"/>
          <w:color w:val="000000" w:themeColor="text1"/>
          <w:sz w:val="32"/>
          <w:szCs w:val="32"/>
          <w:lang w:val="en-US" w:eastAsia="zh-CN"/>
        </w:rPr>
        <w:t>58</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14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，经费使用贯彻落实中央八项规定和县委县政府20条要求。</w:t>
      </w:r>
      <w:r>
        <w:rPr>
          <w:rFonts w:ascii="Times New Roman" w:hAnsi="Times New Roman" w:eastAsia="仿宋_GB2312"/>
          <w:color w:val="000000" w:themeColor="text1"/>
          <w:sz w:val="32"/>
          <w:szCs w:val="32"/>
        </w:rPr>
        <w:t>其中：公务用车运行费</w:t>
      </w:r>
      <w:r>
        <w:rPr>
          <w:rFonts w:hint="eastAsia" w:ascii="Times New Roman" w:hAnsi="Times New Roman" w:eastAsia="仿宋_GB2312"/>
          <w:color w:val="000000" w:themeColor="text1"/>
          <w:sz w:val="32"/>
          <w:szCs w:val="32"/>
          <w:lang w:val="en-US" w:eastAsia="zh-CN"/>
        </w:rPr>
        <w:t>18</w:t>
      </w:r>
      <w:r>
        <w:rPr>
          <w:rFonts w:ascii="Times New Roman" w:hAnsi="Times New Roman" w:eastAsia="仿宋_GB2312"/>
          <w:color w:val="000000" w:themeColor="text1"/>
          <w:sz w:val="32"/>
          <w:szCs w:val="32"/>
        </w:rPr>
        <w:t>万元，与</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相比持平</w:t>
      </w:r>
      <w:r>
        <w:rPr>
          <w:rFonts w:hint="eastAsia" w:ascii="Times New Roman" w:hAnsi="Times New Roman" w:eastAsia="仿宋_GB2312"/>
          <w:color w:val="000000" w:themeColor="text1"/>
          <w:sz w:val="32"/>
          <w:szCs w:val="32"/>
          <w:lang w:eastAsia="zh-CN"/>
        </w:rPr>
        <w:t>，</w:t>
      </w:r>
      <w:r>
        <w:rPr>
          <w:rFonts w:ascii="Times New Roman" w:hAnsi="Times New Roman" w:eastAsia="仿宋_GB2312"/>
          <w:color w:val="000000" w:themeColor="text1"/>
          <w:sz w:val="32"/>
          <w:szCs w:val="32"/>
        </w:rPr>
        <w:t>主要原因是</w:t>
      </w:r>
      <w:r>
        <w:rPr>
          <w:rFonts w:hint="eastAsia" w:ascii="Times New Roman" w:hAnsi="Times New Roman" w:eastAsia="仿宋_GB2312"/>
          <w:color w:val="000000" w:themeColor="text1"/>
          <w:sz w:val="32"/>
          <w:szCs w:val="32"/>
          <w:lang w:eastAsia="zh-CN"/>
        </w:rPr>
        <w:t>车辆数与上年持平</w:t>
      </w:r>
      <w:r>
        <w:rPr>
          <w:rFonts w:hint="eastAsia" w:ascii="Times New Roman" w:hAnsi="Times New Roman" w:eastAsia="仿宋_GB2312"/>
          <w:color w:val="000000" w:themeColor="text1"/>
          <w:sz w:val="32"/>
          <w:szCs w:val="32"/>
        </w:rPr>
        <w:t>,</w:t>
      </w:r>
      <w:r>
        <w:rPr>
          <w:rFonts w:ascii="Times New Roman" w:hAnsi="Times New Roman" w:eastAsia="仿宋_GB2312"/>
          <w:color w:val="000000" w:themeColor="text1"/>
          <w:sz w:val="32"/>
          <w:szCs w:val="32"/>
        </w:rPr>
        <w:t>主要用</w:t>
      </w:r>
      <w:r>
        <w:rPr>
          <w:rFonts w:hint="eastAsia" w:ascii="Times New Roman" w:hAnsi="Times New Roman" w:eastAsia="仿宋_GB2312"/>
          <w:color w:val="000000" w:themeColor="text1"/>
          <w:sz w:val="32"/>
          <w:szCs w:val="32"/>
          <w:lang w:eastAsia="zh-CN"/>
        </w:rPr>
        <w:t>于日常公务用车和外出办案</w:t>
      </w:r>
      <w:r>
        <w:rPr>
          <w:rFonts w:ascii="Times New Roman" w:hAnsi="Times New Roman" w:eastAsia="仿宋_GB2312"/>
          <w:color w:val="000000" w:themeColor="text1"/>
          <w:sz w:val="32"/>
          <w:szCs w:val="32"/>
        </w:rPr>
        <w:t>。公务用车购置费</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较2022年</w:t>
      </w:r>
      <w:r>
        <w:rPr>
          <w:rFonts w:ascii="Times New Roman" w:hAnsi="Times New Roman" w:eastAsia="仿宋_GB2312"/>
          <w:color w:val="000000" w:themeColor="text1"/>
          <w:sz w:val="32"/>
          <w:szCs w:val="32"/>
        </w:rPr>
        <w:t>预算减少</w:t>
      </w:r>
      <w:r>
        <w:rPr>
          <w:rFonts w:hint="eastAsia" w:ascii="Times New Roman" w:hAnsi="Times New Roman" w:eastAsia="仿宋_GB2312"/>
          <w:color w:val="000000" w:themeColor="text1"/>
          <w:sz w:val="32"/>
          <w:szCs w:val="32"/>
          <w:lang w:val="en-US" w:eastAsia="zh-CN"/>
        </w:rPr>
        <w:t>25</w:t>
      </w:r>
      <w:r>
        <w:rPr>
          <w:rFonts w:ascii="Times New Roman" w:hAnsi="Times New Roman" w:eastAsia="仿宋_GB2312"/>
          <w:color w:val="000000" w:themeColor="text1"/>
          <w:sz w:val="32"/>
          <w:szCs w:val="32"/>
        </w:rPr>
        <w:t>万元，下降</w:t>
      </w:r>
      <w:r>
        <w:rPr>
          <w:rFonts w:hint="eastAsia" w:ascii="Times New Roman" w:hAnsi="Times New Roman" w:eastAsia="仿宋_GB2312"/>
          <w:color w:val="000000" w:themeColor="text1"/>
          <w:sz w:val="32"/>
          <w:szCs w:val="32"/>
          <w:lang w:val="en-US" w:eastAsia="zh-CN"/>
        </w:rPr>
        <w:t>100</w:t>
      </w:r>
      <w:r>
        <w:rPr>
          <w:rFonts w:ascii="Times New Roman" w:hAnsi="Times New Roman" w:eastAsia="仿宋_GB2312"/>
          <w:color w:val="000000" w:themeColor="text1"/>
          <w:sz w:val="32"/>
          <w:szCs w:val="32"/>
        </w:rPr>
        <w:t>%，主要原因</w:t>
      </w:r>
      <w:r>
        <w:rPr>
          <w:rFonts w:hint="eastAsia" w:ascii="Times New Roman" w:hAnsi="Times New Roman" w:eastAsia="仿宋_GB2312"/>
          <w:color w:val="000000" w:themeColor="text1"/>
          <w:sz w:val="32"/>
          <w:szCs w:val="32"/>
          <w:lang w:eastAsia="zh-CN"/>
        </w:rPr>
        <w:t>是本</w:t>
      </w:r>
      <w:r>
        <w:rPr>
          <w:rFonts w:hint="eastAsia" w:ascii="Times New Roman" w:hAnsi="Times New Roman" w:eastAsia="仿宋_GB2312"/>
          <w:color w:val="000000" w:themeColor="text1"/>
          <w:sz w:val="32"/>
          <w:szCs w:val="32"/>
          <w:lang w:val="en-US" w:eastAsia="zh-CN"/>
        </w:rPr>
        <w:t>年未安排购车预算</w:t>
      </w:r>
      <w:r>
        <w:rPr>
          <w:rFonts w:hint="eastAsia" w:ascii="Times New Roman" w:hAnsi="Times New Roman" w:eastAsia="仿宋_GB2312"/>
          <w:color w:val="000000" w:themeColor="text1"/>
          <w:sz w:val="32"/>
          <w:szCs w:val="32"/>
        </w:rPr>
        <w:t>。</w:t>
      </w:r>
    </w:p>
    <w:p w14:paraId="5F575D72">
      <w:pPr>
        <w:numPr>
          <w:ilvl w:val="0"/>
          <w:numId w:val="4"/>
        </w:numPr>
        <w:spacing w:line="560" w:lineRule="exact"/>
        <w:ind w:firstLine="640" w:firstLineChars="200"/>
        <w:rPr>
          <w:rFonts w:ascii="Times New Roman" w:hAnsi="Times New Roman" w:eastAsia="黑体"/>
          <w:color w:val="000000" w:themeColor="text1"/>
          <w:sz w:val="32"/>
          <w:szCs w:val="32"/>
        </w:rPr>
      </w:pPr>
      <w:r>
        <w:rPr>
          <w:rFonts w:hint="eastAsia" w:ascii="Times New Roman" w:hAnsi="Times New Roman" w:eastAsia="黑体"/>
          <w:color w:val="000000" w:themeColor="text1"/>
          <w:sz w:val="32"/>
          <w:szCs w:val="32"/>
        </w:rPr>
        <w:t>其他</w:t>
      </w:r>
      <w:r>
        <w:rPr>
          <w:rFonts w:ascii="Times New Roman" w:hAnsi="Times New Roman" w:eastAsia="黑体"/>
          <w:color w:val="000000" w:themeColor="text1"/>
          <w:sz w:val="32"/>
          <w:szCs w:val="32"/>
        </w:rPr>
        <w:t>重要事项情况说明</w:t>
      </w:r>
    </w:p>
    <w:p w14:paraId="15C5BA7B">
      <w:pPr>
        <w:spacing w:line="560" w:lineRule="exact"/>
        <w:ind w:firstLine="643" w:firstLineChars="200"/>
        <w:rPr>
          <w:rFonts w:ascii="Times New Roman" w:hAnsi="Times New Roman" w:eastAsia="仿宋_GB2312"/>
          <w:b/>
          <w:color w:val="000000" w:themeColor="text1"/>
          <w:kern w:val="0"/>
          <w:sz w:val="32"/>
          <w:szCs w:val="32"/>
        </w:rPr>
      </w:pPr>
      <w:r>
        <w:rPr>
          <w:rFonts w:ascii="Times New Roman" w:hAnsi="Times New Roman" w:eastAsia="仿宋_GB2312"/>
          <w:b/>
          <w:color w:val="000000" w:themeColor="text1"/>
          <w:kern w:val="0"/>
          <w:sz w:val="32"/>
          <w:szCs w:val="32"/>
        </w:rPr>
        <w:t>（</w:t>
      </w:r>
      <w:r>
        <w:rPr>
          <w:rFonts w:hint="eastAsia" w:ascii="Times New Roman" w:hAnsi="Times New Roman" w:eastAsia="仿宋_GB2312"/>
          <w:b/>
          <w:color w:val="000000" w:themeColor="text1"/>
          <w:kern w:val="0"/>
          <w:sz w:val="32"/>
          <w:szCs w:val="32"/>
        </w:rPr>
        <w:t>一</w:t>
      </w:r>
      <w:r>
        <w:rPr>
          <w:rFonts w:ascii="Times New Roman" w:hAnsi="Times New Roman" w:eastAsia="仿宋_GB2312"/>
          <w:b/>
          <w:color w:val="000000" w:themeColor="text1"/>
          <w:kern w:val="0"/>
          <w:sz w:val="32"/>
          <w:szCs w:val="32"/>
        </w:rPr>
        <w:t>）</w:t>
      </w:r>
      <w:r>
        <w:rPr>
          <w:rFonts w:hint="eastAsia" w:ascii="Times New Roman" w:hAnsi="Times New Roman" w:eastAsia="仿宋_GB2312"/>
          <w:b/>
          <w:color w:val="000000" w:themeColor="text1"/>
          <w:kern w:val="0"/>
          <w:sz w:val="32"/>
          <w:szCs w:val="32"/>
        </w:rPr>
        <w:t>项目绩效目标编制情况</w:t>
      </w:r>
    </w:p>
    <w:p w14:paraId="524567BB">
      <w:pPr>
        <w:spacing w:line="560" w:lineRule="exact"/>
        <w:ind w:firstLine="640" w:firstLineChars="200"/>
        <w:rPr>
          <w:rFonts w:hint="eastAsia" w:ascii="Times New Roman" w:hAnsi="Times New Roman" w:eastAsia="仿宋_GB2312" w:cs="Times New Roman"/>
          <w:color w:val="000000" w:themeColor="text1"/>
          <w:sz w:val="32"/>
          <w:szCs w:val="32"/>
          <w:lang w:eastAsia="zh-CN"/>
        </w:rPr>
      </w:pPr>
      <w:r>
        <w:rPr>
          <w:rFonts w:hint="eastAsia" w:ascii="Times New Roman" w:hAnsi="Times New Roman" w:eastAsia="仿宋_GB2312"/>
          <w:color w:val="000000" w:themeColor="text1"/>
          <w:kern w:val="0"/>
          <w:sz w:val="32"/>
          <w:szCs w:val="32"/>
        </w:rPr>
        <w:t>2023年</w:t>
      </w:r>
      <w:r>
        <w:rPr>
          <w:rFonts w:hint="eastAsia" w:ascii="Times New Roman" w:hAnsi="Times New Roman" w:eastAsia="仿宋_GB2312"/>
          <w:color w:val="000000" w:themeColor="text1"/>
          <w:kern w:val="0"/>
          <w:sz w:val="32"/>
          <w:szCs w:val="32"/>
          <w:lang w:eastAsia="zh-CN"/>
        </w:rPr>
        <w:t>霍山县人民检察院</w:t>
      </w:r>
      <w:r>
        <w:rPr>
          <w:rFonts w:hint="eastAsia" w:ascii="Times New Roman" w:hAnsi="Times New Roman" w:eastAsia="仿宋_GB2312"/>
          <w:color w:val="000000" w:themeColor="text1"/>
          <w:kern w:val="0"/>
          <w:sz w:val="32"/>
          <w:szCs w:val="32"/>
        </w:rPr>
        <w:t>编制项目</w:t>
      </w:r>
      <w:r>
        <w:rPr>
          <w:rFonts w:ascii="Times New Roman" w:hAnsi="Times New Roman" w:eastAsia="仿宋_GB2312"/>
          <w:color w:val="000000" w:themeColor="text1"/>
          <w:kern w:val="0"/>
          <w:sz w:val="32"/>
          <w:szCs w:val="32"/>
        </w:rPr>
        <w:t>绩效目标</w:t>
      </w:r>
      <w:r>
        <w:rPr>
          <w:rFonts w:hint="eastAsia" w:ascii="Times New Roman" w:hAnsi="Times New Roman" w:eastAsia="仿宋_GB2312"/>
          <w:color w:val="000000" w:themeColor="text1"/>
          <w:kern w:val="0"/>
          <w:sz w:val="32"/>
          <w:szCs w:val="32"/>
          <w:lang w:val="en-US" w:eastAsia="zh-CN"/>
        </w:rPr>
        <w:t>1</w:t>
      </w:r>
      <w:r>
        <w:rPr>
          <w:rFonts w:hint="eastAsia" w:ascii="Times New Roman" w:hAnsi="Times New Roman" w:eastAsia="仿宋_GB2312"/>
          <w:color w:val="000000" w:themeColor="text1"/>
          <w:kern w:val="0"/>
          <w:sz w:val="32"/>
          <w:szCs w:val="32"/>
        </w:rPr>
        <w:t>个</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rPr>
        <w:t>预算资金</w:t>
      </w:r>
      <w:r>
        <w:rPr>
          <w:rFonts w:hint="eastAsia" w:ascii="Times New Roman" w:hAnsi="Times New Roman" w:eastAsia="仿宋_GB2312"/>
          <w:color w:val="000000" w:themeColor="text1"/>
          <w:sz w:val="32"/>
          <w:szCs w:val="32"/>
          <w:lang w:val="en-US" w:eastAsia="zh-CN"/>
        </w:rPr>
        <w:t>37.41</w:t>
      </w:r>
      <w:r>
        <w:rPr>
          <w:rFonts w:ascii="Times New Roman" w:hAnsi="Times New Roman" w:eastAsia="仿宋_GB2312"/>
          <w:color w:val="000000" w:themeColor="text1"/>
          <w:sz w:val="32"/>
          <w:szCs w:val="32"/>
        </w:rPr>
        <w:t>万元</w:t>
      </w:r>
      <w:r>
        <w:rPr>
          <w:rFonts w:hint="eastAsia" w:ascii="Times New Roman" w:hAnsi="Times New Roman" w:eastAsia="仿宋_GB2312"/>
          <w:color w:val="000000" w:themeColor="text1"/>
          <w:sz w:val="32"/>
          <w:szCs w:val="32"/>
        </w:rPr>
        <w:t>。绩效目标包括总体目标和绩效指标，总体目标是项目预期产出和效益的总体描述，绩效指标是总体目标的细化和量化。绩效指标统一按照三级设置，一级指标分为产出指标、效益指标两大类，二级指标分为数量指标、质量指标、时效指标、成本指标（均属于产出指标）和经济效益、社会效益、生态效益、可持续影响指标、满意度指标（均属于效益指标），三级指标结合项目实际，明确具体指标和指标值。</w:t>
      </w:r>
    </w:p>
    <w:p w14:paraId="24CA546D">
      <w:pPr>
        <w:spacing w:line="560" w:lineRule="exact"/>
        <w:ind w:firstLine="643" w:firstLineChars="200"/>
        <w:rPr>
          <w:rFonts w:ascii="Times New Roman" w:hAnsi="Times New Roman" w:eastAsia="仿宋_GB2312"/>
          <w:b/>
          <w:color w:val="000000" w:themeColor="text1"/>
          <w:sz w:val="32"/>
          <w:szCs w:val="32"/>
        </w:rPr>
      </w:pPr>
      <w:r>
        <w:rPr>
          <w:rFonts w:ascii="Times New Roman" w:hAnsi="Times New Roman" w:eastAsia="仿宋_GB2312"/>
          <w:b/>
          <w:color w:val="000000" w:themeColor="text1"/>
          <w:kern w:val="0"/>
          <w:sz w:val="32"/>
          <w:szCs w:val="32"/>
        </w:rPr>
        <w:t>（</w:t>
      </w:r>
      <w:r>
        <w:rPr>
          <w:rFonts w:hint="eastAsia" w:ascii="Times New Roman" w:hAnsi="Times New Roman" w:eastAsia="仿宋_GB2312"/>
          <w:b/>
          <w:color w:val="000000" w:themeColor="text1"/>
          <w:kern w:val="0"/>
          <w:sz w:val="32"/>
          <w:szCs w:val="32"/>
        </w:rPr>
        <w:t>二</w:t>
      </w:r>
      <w:r>
        <w:rPr>
          <w:rFonts w:ascii="Times New Roman" w:hAnsi="Times New Roman" w:eastAsia="仿宋_GB2312"/>
          <w:b/>
          <w:color w:val="000000" w:themeColor="text1"/>
          <w:kern w:val="0"/>
          <w:sz w:val="32"/>
          <w:szCs w:val="32"/>
        </w:rPr>
        <w:t>）机关运行经费。</w:t>
      </w:r>
    </w:p>
    <w:p w14:paraId="73EF336C">
      <w:pPr>
        <w:adjustRightInd w:val="0"/>
        <w:snapToGrid w:val="0"/>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kern w:val="0"/>
          <w:sz w:val="32"/>
          <w:szCs w:val="32"/>
        </w:rPr>
        <w:t>2023年</w:t>
      </w:r>
      <w:r>
        <w:rPr>
          <w:rFonts w:hint="eastAsia" w:ascii="Times New Roman" w:hAnsi="Times New Roman" w:eastAsia="仿宋_GB2312" w:cs="Times New Roman"/>
          <w:color w:val="000000" w:themeColor="text1"/>
          <w:sz w:val="32"/>
          <w:szCs w:val="32"/>
          <w:lang w:eastAsia="zh-CN"/>
        </w:rPr>
        <w:t>霍山县人民检察院</w:t>
      </w:r>
      <w:r>
        <w:rPr>
          <w:rFonts w:ascii="Times New Roman" w:hAnsi="Times New Roman" w:eastAsia="仿宋_GB2312"/>
          <w:color w:val="000000" w:themeColor="text1"/>
          <w:sz w:val="32"/>
          <w:szCs w:val="32"/>
        </w:rPr>
        <w:t>本级</w:t>
      </w:r>
      <w:r>
        <w:rPr>
          <w:rFonts w:ascii="Times New Roman" w:hAnsi="Times New Roman" w:eastAsia="仿宋_GB2312"/>
          <w:color w:val="000000" w:themeColor="text1"/>
          <w:sz w:val="32"/>
          <w:szCs w:val="32"/>
          <w:u w:val="none"/>
        </w:rPr>
        <w:t>1</w:t>
      </w:r>
      <w:r>
        <w:rPr>
          <w:rFonts w:ascii="Times New Roman" w:hAnsi="Times New Roman" w:eastAsia="仿宋_GB2312"/>
          <w:color w:val="000000" w:themeColor="text1"/>
          <w:sz w:val="32"/>
          <w:szCs w:val="32"/>
        </w:rPr>
        <w:t>家</w:t>
      </w:r>
      <w:r>
        <w:rPr>
          <w:rFonts w:ascii="Times New Roman" w:hAnsi="Times New Roman" w:eastAsia="仿宋_GB2312"/>
          <w:color w:val="000000" w:themeColor="text1"/>
          <w:kern w:val="0"/>
          <w:sz w:val="32"/>
          <w:szCs w:val="32"/>
        </w:rPr>
        <w:t>行政单位</w:t>
      </w:r>
      <w:r>
        <w:rPr>
          <w:rFonts w:hint="eastAsia" w:ascii="Times New Roman" w:hAnsi="Times New Roman" w:eastAsia="仿宋_GB2312"/>
          <w:color w:val="000000" w:themeColor="text1"/>
          <w:kern w:val="0"/>
          <w:sz w:val="32"/>
          <w:szCs w:val="32"/>
          <w:lang w:val="en-US" w:eastAsia="zh-CN"/>
        </w:rPr>
        <w:t>的</w:t>
      </w:r>
      <w:r>
        <w:rPr>
          <w:rFonts w:ascii="Times New Roman" w:hAnsi="Times New Roman" w:eastAsia="仿宋_GB2312"/>
          <w:color w:val="000000" w:themeColor="text1"/>
          <w:kern w:val="0"/>
          <w:sz w:val="32"/>
          <w:szCs w:val="32"/>
        </w:rPr>
        <w:t>机关运行经费财政拨款预算</w:t>
      </w:r>
      <w:r>
        <w:rPr>
          <w:rFonts w:hint="eastAsia" w:ascii="Times New Roman" w:hAnsi="Times New Roman" w:eastAsia="仿宋_GB2312"/>
          <w:color w:val="000000" w:themeColor="text1"/>
          <w:kern w:val="0"/>
          <w:sz w:val="32"/>
          <w:szCs w:val="32"/>
          <w:lang w:val="en-US" w:eastAsia="zh-CN"/>
        </w:rPr>
        <w:t>154</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08</w:t>
      </w:r>
      <w:r>
        <w:rPr>
          <w:rFonts w:ascii="Times New Roman" w:hAnsi="Times New Roman" w:eastAsia="仿宋_GB2312"/>
          <w:color w:val="000000" w:themeColor="text1"/>
          <w:kern w:val="0"/>
          <w:sz w:val="32"/>
          <w:szCs w:val="32"/>
        </w:rPr>
        <w:t>万元，</w:t>
      </w:r>
      <w:r>
        <w:rPr>
          <w:rFonts w:hint="eastAsia" w:ascii="Times New Roman" w:hAnsi="Times New Roman" w:eastAsia="仿宋_GB2312"/>
          <w:color w:val="000000" w:themeColor="text1"/>
          <w:kern w:val="0"/>
          <w:sz w:val="32"/>
          <w:szCs w:val="32"/>
        </w:rPr>
        <w:t>较2022年</w:t>
      </w:r>
      <w:r>
        <w:rPr>
          <w:rFonts w:ascii="Times New Roman" w:hAnsi="Times New Roman" w:eastAsia="仿宋_GB2312"/>
          <w:color w:val="000000" w:themeColor="text1"/>
          <w:kern w:val="0"/>
          <w:sz w:val="32"/>
          <w:szCs w:val="32"/>
        </w:rPr>
        <w:t>增加</w:t>
      </w:r>
      <w:r>
        <w:rPr>
          <w:rFonts w:hint="eastAsia" w:ascii="Times New Roman" w:hAnsi="Times New Roman" w:eastAsia="仿宋_GB2312"/>
          <w:color w:val="000000" w:themeColor="text1"/>
          <w:kern w:val="0"/>
          <w:sz w:val="32"/>
          <w:szCs w:val="32"/>
          <w:lang w:val="en-US" w:eastAsia="zh-CN"/>
        </w:rPr>
        <w:t>50</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52</w:t>
      </w:r>
      <w:r>
        <w:rPr>
          <w:rFonts w:ascii="Times New Roman" w:hAnsi="Times New Roman" w:eastAsia="仿宋_GB2312"/>
          <w:color w:val="000000" w:themeColor="text1"/>
          <w:sz w:val="32"/>
          <w:szCs w:val="32"/>
        </w:rPr>
        <w:t>万元，增长</w:t>
      </w:r>
      <w:r>
        <w:rPr>
          <w:rFonts w:hint="eastAsia" w:ascii="Times New Roman" w:hAnsi="Times New Roman" w:eastAsia="仿宋_GB2312"/>
          <w:color w:val="000000" w:themeColor="text1"/>
          <w:sz w:val="32"/>
          <w:szCs w:val="32"/>
          <w:lang w:val="en-US" w:eastAsia="zh-CN"/>
        </w:rPr>
        <w:t>48</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78</w:t>
      </w:r>
      <w:r>
        <w:rPr>
          <w:rFonts w:ascii="Times New Roman" w:hAnsi="Times New Roman" w:eastAsia="仿宋_GB2312"/>
          <w:color w:val="000000" w:themeColor="text1"/>
          <w:sz w:val="32"/>
          <w:szCs w:val="32"/>
        </w:rPr>
        <w:t>%，增长主要原因是</w:t>
      </w:r>
      <w:r>
        <w:rPr>
          <w:rFonts w:hint="eastAsia" w:ascii="Times New Roman" w:hAnsi="Times New Roman" w:eastAsia="仿宋_GB2312"/>
          <w:color w:val="000000" w:themeColor="text1"/>
          <w:sz w:val="32"/>
          <w:szCs w:val="32"/>
          <w:lang w:eastAsia="zh-CN"/>
        </w:rPr>
        <w:t>上年安排在项目经费支出，本年安排在基本经费支出</w:t>
      </w:r>
      <w:r>
        <w:rPr>
          <w:rFonts w:ascii="Times New Roman" w:hAnsi="Times New Roman" w:eastAsia="仿宋_GB2312"/>
          <w:color w:val="000000" w:themeColor="text1"/>
          <w:sz w:val="32"/>
          <w:szCs w:val="32"/>
        </w:rPr>
        <w:t>。</w:t>
      </w:r>
    </w:p>
    <w:p w14:paraId="77FB3A18">
      <w:pPr>
        <w:spacing w:line="560" w:lineRule="exact"/>
        <w:ind w:firstLine="643" w:firstLineChars="200"/>
        <w:rPr>
          <w:rFonts w:ascii="Times New Roman" w:hAnsi="Times New Roman" w:eastAsia="仿宋_GB2312"/>
          <w:b/>
          <w:color w:val="000000" w:themeColor="text1"/>
          <w:kern w:val="0"/>
          <w:sz w:val="32"/>
          <w:szCs w:val="32"/>
        </w:rPr>
      </w:pPr>
      <w:r>
        <w:rPr>
          <w:rFonts w:ascii="Times New Roman" w:hAnsi="Times New Roman" w:eastAsia="仿宋_GB2312"/>
          <w:b/>
          <w:color w:val="000000" w:themeColor="text1"/>
          <w:kern w:val="0"/>
          <w:sz w:val="32"/>
          <w:szCs w:val="32"/>
        </w:rPr>
        <w:t>（</w:t>
      </w:r>
      <w:r>
        <w:rPr>
          <w:rFonts w:hint="eastAsia" w:ascii="Times New Roman" w:hAnsi="Times New Roman" w:eastAsia="仿宋_GB2312"/>
          <w:b/>
          <w:color w:val="000000" w:themeColor="text1"/>
          <w:kern w:val="0"/>
          <w:sz w:val="32"/>
          <w:szCs w:val="32"/>
        </w:rPr>
        <w:t>三</w:t>
      </w:r>
      <w:r>
        <w:rPr>
          <w:rFonts w:ascii="Times New Roman" w:hAnsi="Times New Roman" w:eastAsia="仿宋_GB2312"/>
          <w:b/>
          <w:color w:val="000000" w:themeColor="text1"/>
          <w:kern w:val="0"/>
          <w:sz w:val="32"/>
          <w:szCs w:val="32"/>
        </w:rPr>
        <w:t>）政府采购情况。</w:t>
      </w:r>
    </w:p>
    <w:p w14:paraId="006F307A">
      <w:pPr>
        <w:spacing w:line="560" w:lineRule="exact"/>
        <w:ind w:firstLine="640" w:firstLineChars="200"/>
        <w:rPr>
          <w:rFonts w:ascii="Times New Roman" w:hAnsi="Times New Roman" w:eastAsia="楷体"/>
          <w:color w:val="000000" w:themeColor="text1"/>
          <w:kern w:val="0"/>
          <w:sz w:val="32"/>
          <w:szCs w:val="32"/>
        </w:rPr>
      </w:pPr>
      <w:r>
        <w:rPr>
          <w:rFonts w:hint="eastAsia" w:ascii="Times New Roman" w:hAnsi="Times New Roman" w:eastAsia="仿宋_GB2312"/>
          <w:color w:val="000000" w:themeColor="text1"/>
          <w:kern w:val="0"/>
          <w:sz w:val="32"/>
          <w:szCs w:val="32"/>
        </w:rPr>
        <w:t>2023年</w:t>
      </w:r>
      <w:r>
        <w:rPr>
          <w:rFonts w:hint="eastAsia" w:ascii="Times New Roman" w:hAnsi="Times New Roman" w:eastAsia="仿宋_GB2312" w:cs="Times New Roman"/>
          <w:color w:val="000000" w:themeColor="text1"/>
          <w:sz w:val="32"/>
          <w:szCs w:val="32"/>
          <w:lang w:eastAsia="zh-CN"/>
        </w:rPr>
        <w:t>霍山县人民检察院</w:t>
      </w:r>
      <w:r>
        <w:rPr>
          <w:rFonts w:ascii="Times New Roman" w:hAnsi="Times New Roman" w:eastAsia="仿宋_GB2312"/>
          <w:color w:val="000000" w:themeColor="text1"/>
          <w:kern w:val="0"/>
          <w:sz w:val="32"/>
          <w:szCs w:val="32"/>
        </w:rPr>
        <w:t>政府采购预算总额</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万元，其中：政府采购货物预算</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万元、政府采购工程预算</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万元、政府采购服务预算</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万元。</w:t>
      </w:r>
    </w:p>
    <w:p w14:paraId="6C62F0F6">
      <w:pPr>
        <w:spacing w:line="560" w:lineRule="exact"/>
        <w:ind w:firstLine="643" w:firstLineChars="200"/>
        <w:rPr>
          <w:rFonts w:ascii="Times New Roman" w:hAnsi="Times New Roman" w:eastAsia="仿宋_GB2312"/>
          <w:b/>
          <w:color w:val="000000" w:themeColor="text1"/>
          <w:kern w:val="0"/>
          <w:sz w:val="32"/>
          <w:szCs w:val="32"/>
        </w:rPr>
      </w:pPr>
      <w:r>
        <w:rPr>
          <w:rFonts w:ascii="Times New Roman" w:hAnsi="Times New Roman" w:eastAsia="仿宋_GB2312"/>
          <w:b/>
          <w:color w:val="000000" w:themeColor="text1"/>
          <w:kern w:val="0"/>
          <w:sz w:val="32"/>
          <w:szCs w:val="32"/>
        </w:rPr>
        <w:t>（</w:t>
      </w:r>
      <w:r>
        <w:rPr>
          <w:rFonts w:hint="eastAsia" w:ascii="Times New Roman" w:hAnsi="Times New Roman" w:eastAsia="仿宋_GB2312"/>
          <w:b/>
          <w:color w:val="000000" w:themeColor="text1"/>
          <w:kern w:val="0"/>
          <w:sz w:val="32"/>
          <w:szCs w:val="32"/>
        </w:rPr>
        <w:t>四</w:t>
      </w:r>
      <w:r>
        <w:rPr>
          <w:rFonts w:ascii="Times New Roman" w:hAnsi="Times New Roman" w:eastAsia="仿宋_GB2312"/>
          <w:b/>
          <w:color w:val="000000" w:themeColor="text1"/>
          <w:kern w:val="0"/>
          <w:sz w:val="32"/>
          <w:szCs w:val="32"/>
        </w:rPr>
        <w:t>）国有资产占有使用情况。</w:t>
      </w:r>
    </w:p>
    <w:p w14:paraId="15D5D6AB">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截至</w:t>
      </w:r>
      <w:r>
        <w:rPr>
          <w:rFonts w:hint="eastAsia" w:ascii="Times New Roman" w:hAnsi="Times New Roman" w:eastAsia="仿宋_GB2312"/>
          <w:color w:val="000000" w:themeColor="text1"/>
          <w:sz w:val="32"/>
          <w:szCs w:val="32"/>
        </w:rPr>
        <w:t>2022年</w:t>
      </w:r>
      <w:r>
        <w:rPr>
          <w:rFonts w:ascii="Times New Roman" w:hAnsi="Times New Roman" w:eastAsia="仿宋_GB2312"/>
          <w:color w:val="000000" w:themeColor="text1"/>
          <w:sz w:val="32"/>
          <w:szCs w:val="32"/>
        </w:rPr>
        <w:t>12月，</w:t>
      </w:r>
      <w:r>
        <w:rPr>
          <w:rFonts w:hint="eastAsia" w:ascii="Times New Roman" w:hAnsi="Times New Roman" w:eastAsia="仿宋_GB2312" w:cs="Times New Roman"/>
          <w:color w:val="000000" w:themeColor="text1"/>
          <w:sz w:val="32"/>
          <w:szCs w:val="32"/>
          <w:lang w:eastAsia="zh-CN"/>
        </w:rPr>
        <w:t>霍山县人民检察院</w:t>
      </w:r>
      <w:r>
        <w:rPr>
          <w:rFonts w:ascii="Times New Roman" w:hAnsi="Times New Roman" w:eastAsia="仿宋_GB2312"/>
          <w:color w:val="000000" w:themeColor="text1"/>
          <w:sz w:val="32"/>
          <w:szCs w:val="32"/>
        </w:rPr>
        <w:t>固定资产总金额</w:t>
      </w:r>
      <w:r>
        <w:rPr>
          <w:rFonts w:hint="eastAsia" w:ascii="Times New Roman" w:hAnsi="Times New Roman" w:eastAsia="仿宋_GB2312"/>
          <w:color w:val="000000" w:themeColor="text1"/>
          <w:sz w:val="32"/>
          <w:szCs w:val="32"/>
          <w:lang w:val="en-US" w:eastAsia="zh-CN"/>
        </w:rPr>
        <w:t>2909.07</w:t>
      </w:r>
      <w:r>
        <w:rPr>
          <w:rFonts w:ascii="Times New Roman" w:hAnsi="Times New Roman" w:eastAsia="仿宋_GB2312"/>
          <w:color w:val="000000" w:themeColor="text1"/>
          <w:sz w:val="32"/>
          <w:szCs w:val="32"/>
        </w:rPr>
        <w:t>万元，较上年增</w:t>
      </w:r>
      <w:r>
        <w:rPr>
          <w:rFonts w:hint="eastAsia" w:ascii="Times New Roman" w:hAnsi="Times New Roman" w:eastAsia="仿宋_GB2312"/>
          <w:color w:val="000000" w:themeColor="text1"/>
          <w:sz w:val="32"/>
          <w:szCs w:val="32"/>
          <w:lang w:eastAsia="zh-CN"/>
        </w:rPr>
        <w:t>加</w:t>
      </w:r>
      <w:r>
        <w:rPr>
          <w:rFonts w:hint="eastAsia" w:ascii="Times New Roman" w:hAnsi="Times New Roman" w:eastAsia="仿宋_GB2312"/>
          <w:color w:val="000000" w:themeColor="text1"/>
          <w:sz w:val="32"/>
          <w:szCs w:val="32"/>
          <w:lang w:val="en-US" w:eastAsia="zh-CN"/>
        </w:rPr>
        <w:t>75</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56</w:t>
      </w:r>
      <w:r>
        <w:rPr>
          <w:rFonts w:ascii="Times New Roman" w:hAnsi="Times New Roman" w:eastAsia="仿宋_GB2312"/>
          <w:color w:val="000000" w:themeColor="text1"/>
          <w:sz w:val="32"/>
          <w:szCs w:val="32"/>
        </w:rPr>
        <w:t>万元，其中，土地、房屋及构筑物</w:t>
      </w:r>
      <w:r>
        <w:rPr>
          <w:rFonts w:hint="eastAsia" w:ascii="Times New Roman" w:hAnsi="Times New Roman" w:eastAsia="仿宋_GB2312"/>
          <w:color w:val="000000" w:themeColor="text1"/>
          <w:sz w:val="32"/>
          <w:szCs w:val="32"/>
          <w:lang w:val="en-US" w:eastAsia="zh-CN"/>
        </w:rPr>
        <w:t>1573.47</w:t>
      </w:r>
      <w:r>
        <w:rPr>
          <w:rFonts w:ascii="Times New Roman" w:hAnsi="Times New Roman" w:eastAsia="仿宋_GB2312"/>
          <w:color w:val="000000" w:themeColor="text1"/>
          <w:sz w:val="32"/>
          <w:szCs w:val="32"/>
        </w:rPr>
        <w:t>万元、通用设备</w:t>
      </w:r>
      <w:r>
        <w:rPr>
          <w:rFonts w:hint="eastAsia" w:ascii="Times New Roman" w:hAnsi="Times New Roman" w:eastAsia="仿宋_GB2312"/>
          <w:color w:val="000000" w:themeColor="text1"/>
          <w:sz w:val="32"/>
          <w:szCs w:val="32"/>
          <w:lang w:val="en-US" w:eastAsia="zh-CN"/>
        </w:rPr>
        <w:t>1214.04</w:t>
      </w:r>
      <w:r>
        <w:rPr>
          <w:rFonts w:ascii="Times New Roman" w:hAnsi="Times New Roman" w:eastAsia="仿宋_GB2312"/>
          <w:color w:val="000000" w:themeColor="text1"/>
          <w:sz w:val="32"/>
          <w:szCs w:val="32"/>
        </w:rPr>
        <w:t>万元、专用设备</w:t>
      </w:r>
      <w:r>
        <w:rPr>
          <w:rFonts w:hint="eastAsia" w:ascii="Times New Roman" w:hAnsi="Times New Roman" w:eastAsia="仿宋_GB2312"/>
          <w:color w:val="000000" w:themeColor="text1"/>
          <w:sz w:val="32"/>
          <w:szCs w:val="32"/>
          <w:lang w:val="en-US" w:eastAsia="zh-CN"/>
        </w:rPr>
        <w:t>6.55</w:t>
      </w:r>
      <w:r>
        <w:rPr>
          <w:rFonts w:ascii="Times New Roman" w:hAnsi="Times New Roman" w:eastAsia="仿宋_GB2312"/>
          <w:color w:val="000000" w:themeColor="text1"/>
          <w:sz w:val="32"/>
          <w:szCs w:val="32"/>
        </w:rPr>
        <w:t>万元、其他资产</w:t>
      </w:r>
      <w:r>
        <w:rPr>
          <w:rFonts w:hint="eastAsia" w:ascii="Times New Roman" w:hAnsi="Times New Roman" w:eastAsia="仿宋_GB2312"/>
          <w:color w:val="000000" w:themeColor="text1"/>
          <w:sz w:val="32"/>
          <w:szCs w:val="32"/>
          <w:lang w:val="en-US" w:eastAsia="zh-CN"/>
        </w:rPr>
        <w:t>115</w:t>
      </w:r>
      <w:r>
        <w:rPr>
          <w:rFonts w:ascii="Times New Roman" w:hAnsi="Times New Roman" w:eastAsia="仿宋_GB2312"/>
          <w:color w:val="000000" w:themeColor="text1"/>
          <w:sz w:val="32"/>
          <w:szCs w:val="32"/>
        </w:rPr>
        <w:t>.</w:t>
      </w:r>
      <w:r>
        <w:rPr>
          <w:rFonts w:hint="eastAsia" w:ascii="Times New Roman" w:hAnsi="Times New Roman" w:eastAsia="仿宋_GB2312"/>
          <w:color w:val="000000" w:themeColor="text1"/>
          <w:sz w:val="32"/>
          <w:szCs w:val="32"/>
          <w:lang w:val="en-US" w:eastAsia="zh-CN"/>
        </w:rPr>
        <w:t>01</w:t>
      </w:r>
      <w:r>
        <w:rPr>
          <w:rFonts w:ascii="Times New Roman" w:hAnsi="Times New Roman" w:eastAsia="仿宋_GB2312"/>
          <w:color w:val="000000" w:themeColor="text1"/>
          <w:sz w:val="32"/>
          <w:szCs w:val="32"/>
        </w:rPr>
        <w:t>万元。</w:t>
      </w:r>
    </w:p>
    <w:p w14:paraId="700D16A1">
      <w:pPr>
        <w:spacing w:line="560" w:lineRule="exact"/>
        <w:ind w:firstLine="640" w:firstLineChars="200"/>
        <w:rPr>
          <w:rFonts w:hint="eastAsia" w:ascii="Times New Roman" w:hAnsi="Times New Roman" w:eastAsia="仿宋_GB2312"/>
          <w:color w:val="000000" w:themeColor="text1"/>
          <w:sz w:val="32"/>
          <w:szCs w:val="32"/>
        </w:rPr>
      </w:pPr>
      <w:r>
        <w:rPr>
          <w:rFonts w:hint="eastAsia" w:ascii="Times New Roman" w:hAnsi="Times New Roman" w:eastAsia="仿宋_GB2312"/>
          <w:color w:val="000000" w:themeColor="text1"/>
          <w:sz w:val="32"/>
          <w:szCs w:val="32"/>
        </w:rPr>
        <w:t>单位</w:t>
      </w:r>
      <w:r>
        <w:rPr>
          <w:rFonts w:ascii="Times New Roman" w:hAnsi="Times New Roman" w:eastAsia="仿宋_GB2312"/>
          <w:color w:val="000000" w:themeColor="text1"/>
          <w:sz w:val="32"/>
          <w:szCs w:val="32"/>
        </w:rPr>
        <w:t>车改后保留车辆</w:t>
      </w:r>
      <w:r>
        <w:rPr>
          <w:rFonts w:hint="eastAsia" w:ascii="Times New Roman" w:hAnsi="Times New Roman" w:eastAsia="仿宋_GB2312"/>
          <w:color w:val="000000" w:themeColor="text1"/>
          <w:sz w:val="32"/>
          <w:szCs w:val="32"/>
          <w:u w:val="none"/>
        </w:rPr>
        <w:t xml:space="preserve"> </w:t>
      </w:r>
      <w:r>
        <w:rPr>
          <w:rFonts w:hint="eastAsia" w:ascii="Times New Roman" w:hAnsi="Times New Roman" w:eastAsia="仿宋_GB2312"/>
          <w:color w:val="000000" w:themeColor="text1"/>
          <w:sz w:val="32"/>
          <w:szCs w:val="32"/>
          <w:u w:val="none"/>
          <w:lang w:val="en-US" w:eastAsia="zh-CN"/>
        </w:rPr>
        <w:t>5</w:t>
      </w:r>
      <w:r>
        <w:rPr>
          <w:rFonts w:ascii="Times New Roman" w:hAnsi="Times New Roman" w:eastAsia="仿宋_GB2312"/>
          <w:color w:val="000000" w:themeColor="text1"/>
          <w:sz w:val="32"/>
          <w:szCs w:val="32"/>
        </w:rPr>
        <w:t>辆，其中</w:t>
      </w:r>
      <w:r>
        <w:rPr>
          <w:rFonts w:hint="eastAsia" w:ascii="Times New Roman" w:hAnsi="Times New Roman" w:eastAsia="仿宋_GB2312"/>
          <w:color w:val="000000" w:themeColor="text1"/>
          <w:sz w:val="32"/>
          <w:szCs w:val="32"/>
        </w:rPr>
        <w:t>：其他按照规定配备的公务用车</w:t>
      </w:r>
      <w:r>
        <w:rPr>
          <w:rFonts w:hint="eastAsia" w:ascii="Times New Roman" w:hAnsi="Times New Roman" w:eastAsia="仿宋_GB2312"/>
          <w:color w:val="000000" w:themeColor="text1"/>
          <w:sz w:val="32"/>
          <w:szCs w:val="32"/>
          <w:lang w:val="en-US" w:eastAsia="zh-CN"/>
        </w:rPr>
        <w:t>1</w:t>
      </w:r>
      <w:r>
        <w:rPr>
          <w:rFonts w:hint="eastAsia" w:ascii="Times New Roman" w:hAnsi="Times New Roman" w:eastAsia="仿宋_GB2312"/>
          <w:color w:val="000000" w:themeColor="text1"/>
          <w:sz w:val="32"/>
          <w:szCs w:val="32"/>
        </w:rPr>
        <w:t>辆、执法执勤用车</w:t>
      </w:r>
      <w:r>
        <w:rPr>
          <w:rFonts w:hint="eastAsia" w:ascii="Times New Roman" w:hAnsi="Times New Roman" w:eastAsia="仿宋_GB2312"/>
          <w:color w:val="000000" w:themeColor="text1"/>
          <w:sz w:val="32"/>
          <w:szCs w:val="32"/>
          <w:lang w:val="en-US" w:eastAsia="zh-CN"/>
        </w:rPr>
        <w:t>4</w:t>
      </w:r>
      <w:r>
        <w:rPr>
          <w:rFonts w:hint="eastAsia" w:ascii="Times New Roman" w:hAnsi="Times New Roman" w:eastAsia="仿宋_GB2312"/>
          <w:color w:val="000000" w:themeColor="text1"/>
          <w:sz w:val="32"/>
          <w:szCs w:val="32"/>
        </w:rPr>
        <w:t>辆。</w:t>
      </w:r>
    </w:p>
    <w:p w14:paraId="1D932BFC">
      <w:pPr>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仿宋_GB2312"/>
          <w:color w:val="000000" w:themeColor="text1"/>
          <w:sz w:val="32"/>
          <w:szCs w:val="32"/>
        </w:rPr>
        <w:t>单位价值50万元以上的通用设备有</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台（套），单位价值100万元以上的专用设备有</w:t>
      </w:r>
      <w:r>
        <w:rPr>
          <w:rFonts w:hint="eastAsia" w:ascii="Times New Roman" w:hAnsi="Times New Roman" w:eastAsia="仿宋_GB2312"/>
          <w:color w:val="000000" w:themeColor="text1"/>
          <w:sz w:val="32"/>
          <w:szCs w:val="32"/>
          <w:lang w:val="en-US" w:eastAsia="zh-CN"/>
        </w:rPr>
        <w:t>0</w:t>
      </w:r>
      <w:r>
        <w:rPr>
          <w:rFonts w:ascii="Times New Roman" w:hAnsi="Times New Roman" w:eastAsia="仿宋_GB2312"/>
          <w:color w:val="000000" w:themeColor="text1"/>
          <w:sz w:val="32"/>
          <w:szCs w:val="32"/>
        </w:rPr>
        <w:t xml:space="preserve">台（套）。 </w:t>
      </w:r>
    </w:p>
    <w:p w14:paraId="198A6CB6">
      <w:pPr>
        <w:spacing w:line="560" w:lineRule="exact"/>
        <w:ind w:firstLine="640" w:firstLineChars="200"/>
        <w:rPr>
          <w:rFonts w:ascii="Times New Roman" w:hAnsi="Times New Roman" w:eastAsia="仿宋_GB2312"/>
          <w:color w:val="000000" w:themeColor="text1"/>
          <w:sz w:val="32"/>
          <w:szCs w:val="32"/>
        </w:rPr>
      </w:pPr>
      <w:r>
        <w:rPr>
          <w:rFonts w:hint="eastAsia" w:ascii="Times New Roman" w:hAnsi="Times New Roman" w:eastAsia="仿宋_GB2312"/>
          <w:color w:val="000000" w:themeColor="text1"/>
          <w:kern w:val="0"/>
          <w:sz w:val="32"/>
          <w:szCs w:val="32"/>
        </w:rPr>
        <w:t>2023年</w:t>
      </w:r>
      <w:r>
        <w:rPr>
          <w:rFonts w:hint="eastAsia" w:ascii="Times New Roman" w:hAnsi="Times New Roman" w:eastAsia="仿宋_GB2312"/>
          <w:color w:val="000000" w:themeColor="text1"/>
          <w:kern w:val="0"/>
          <w:sz w:val="32"/>
          <w:szCs w:val="32"/>
          <w:u w:val="none"/>
        </w:rPr>
        <w:t>部门</w:t>
      </w:r>
      <w:r>
        <w:rPr>
          <w:rFonts w:ascii="Times New Roman" w:hAnsi="Times New Roman" w:eastAsia="仿宋_GB2312"/>
          <w:color w:val="000000" w:themeColor="text1"/>
          <w:kern w:val="0"/>
          <w:sz w:val="32"/>
          <w:szCs w:val="32"/>
        </w:rPr>
        <w:t>预算安排购置车辆</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辆，购置费</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sz w:val="32"/>
          <w:szCs w:val="32"/>
        </w:rPr>
        <w:t>万元。</w:t>
      </w:r>
    </w:p>
    <w:p w14:paraId="0556CE17">
      <w:pPr>
        <w:spacing w:line="560" w:lineRule="exact"/>
        <w:ind w:firstLine="640" w:firstLineChars="200"/>
        <w:rPr>
          <w:rFonts w:ascii="Times New Roman" w:hAnsi="Times New Roman" w:eastAsia="楷体"/>
          <w:color w:val="000000" w:themeColor="text1"/>
          <w:kern w:val="0"/>
          <w:sz w:val="32"/>
          <w:szCs w:val="32"/>
        </w:rPr>
      </w:pPr>
      <w:r>
        <w:rPr>
          <w:rFonts w:hint="eastAsia" w:ascii="Times New Roman" w:hAnsi="Times New Roman" w:eastAsia="仿宋_GB2312"/>
          <w:color w:val="000000" w:themeColor="text1"/>
          <w:kern w:val="0"/>
          <w:sz w:val="32"/>
          <w:szCs w:val="32"/>
        </w:rPr>
        <w:t>2023年</w:t>
      </w:r>
      <w:r>
        <w:rPr>
          <w:rFonts w:hint="eastAsia" w:ascii="Times New Roman" w:hAnsi="Times New Roman" w:eastAsia="仿宋_GB2312"/>
          <w:color w:val="000000" w:themeColor="text1"/>
          <w:kern w:val="0"/>
          <w:sz w:val="32"/>
          <w:szCs w:val="32"/>
          <w:u w:val="none"/>
        </w:rPr>
        <w:t>部门</w:t>
      </w:r>
      <w:r>
        <w:rPr>
          <w:rFonts w:ascii="Times New Roman" w:hAnsi="Times New Roman" w:eastAsia="仿宋_GB2312"/>
          <w:color w:val="000000" w:themeColor="text1"/>
          <w:kern w:val="0"/>
          <w:sz w:val="32"/>
          <w:szCs w:val="32"/>
        </w:rPr>
        <w:t>预算安排购置单位价值50万元以上的通用设备</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台（套），购置费</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sz w:val="32"/>
          <w:szCs w:val="32"/>
        </w:rPr>
        <w:t>万元；</w:t>
      </w:r>
      <w:r>
        <w:rPr>
          <w:rFonts w:ascii="Times New Roman" w:hAnsi="Times New Roman" w:eastAsia="仿宋_GB2312"/>
          <w:color w:val="000000" w:themeColor="text1"/>
          <w:kern w:val="0"/>
          <w:sz w:val="32"/>
          <w:szCs w:val="32"/>
        </w:rPr>
        <w:t>安排购置单位价值100万元以上专用设备</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kern w:val="0"/>
          <w:sz w:val="32"/>
          <w:szCs w:val="32"/>
        </w:rPr>
        <w:t>台（套），购置费</w:t>
      </w:r>
      <w:r>
        <w:rPr>
          <w:rFonts w:hint="eastAsia" w:ascii="Times New Roman" w:hAnsi="Times New Roman" w:eastAsia="仿宋_GB2312"/>
          <w:color w:val="000000" w:themeColor="text1"/>
          <w:kern w:val="0"/>
          <w:sz w:val="32"/>
          <w:szCs w:val="32"/>
          <w:lang w:val="en-US" w:eastAsia="zh-CN"/>
        </w:rPr>
        <w:t>0</w:t>
      </w:r>
      <w:r>
        <w:rPr>
          <w:rFonts w:ascii="Times New Roman" w:hAnsi="Times New Roman" w:eastAsia="仿宋_GB2312"/>
          <w:color w:val="000000" w:themeColor="text1"/>
          <w:sz w:val="32"/>
          <w:szCs w:val="32"/>
        </w:rPr>
        <w:t>万元。</w:t>
      </w:r>
    </w:p>
    <w:p w14:paraId="0B1C4D60">
      <w:pPr>
        <w:spacing w:line="560" w:lineRule="exact"/>
        <w:jc w:val="center"/>
        <w:rPr>
          <w:rFonts w:ascii="Times New Roman" w:hAnsi="Times New Roman" w:eastAsia="黑体"/>
          <w:color w:val="000000" w:themeColor="text1"/>
          <w:sz w:val="36"/>
          <w:szCs w:val="36"/>
        </w:rPr>
      </w:pPr>
      <w:r>
        <w:rPr>
          <w:rFonts w:ascii="Times New Roman" w:hAnsi="Times New Roman" w:eastAsia="黑体"/>
          <w:color w:val="000000" w:themeColor="text1"/>
          <w:sz w:val="36"/>
          <w:szCs w:val="36"/>
        </w:rPr>
        <w:t>第</w:t>
      </w:r>
      <w:r>
        <w:rPr>
          <w:rFonts w:hint="eastAsia" w:ascii="Times New Roman" w:hAnsi="Times New Roman" w:eastAsia="黑体"/>
          <w:color w:val="000000" w:themeColor="text1"/>
          <w:sz w:val="36"/>
          <w:szCs w:val="36"/>
        </w:rPr>
        <w:t>四</w:t>
      </w:r>
      <w:r>
        <w:rPr>
          <w:rFonts w:ascii="Times New Roman" w:hAnsi="Times New Roman" w:eastAsia="黑体"/>
          <w:color w:val="000000" w:themeColor="text1"/>
          <w:sz w:val="36"/>
          <w:szCs w:val="36"/>
        </w:rPr>
        <w:t>部分 名词解释</w:t>
      </w:r>
    </w:p>
    <w:p w14:paraId="0127ECF0">
      <w:pPr>
        <w:adjustRightInd w:val="0"/>
        <w:snapToGrid w:val="0"/>
        <w:spacing w:line="560" w:lineRule="exact"/>
        <w:ind w:firstLine="640" w:firstLineChars="200"/>
        <w:rPr>
          <w:rFonts w:ascii="Times New Roman" w:hAnsi="Times New Roman" w:eastAsia="仿宋_GB2312"/>
          <w:color w:val="000000" w:themeColor="text1"/>
          <w:sz w:val="32"/>
          <w:szCs w:val="32"/>
        </w:rPr>
      </w:pPr>
      <w:r>
        <w:rPr>
          <w:rFonts w:ascii="Times New Roman" w:hAnsi="Times New Roman" w:eastAsia="黑体"/>
          <w:color w:val="000000" w:themeColor="text1"/>
          <w:sz w:val="32"/>
          <w:szCs w:val="32"/>
        </w:rPr>
        <w:t>一、财政拨款收入</w:t>
      </w:r>
      <w:r>
        <w:rPr>
          <w:rFonts w:ascii="Times New Roman" w:hAnsi="Times New Roman" w:eastAsia="仿宋_GB2312"/>
          <w:b/>
          <w:color w:val="000000" w:themeColor="text1"/>
          <w:sz w:val="32"/>
          <w:szCs w:val="32"/>
        </w:rPr>
        <w:t>：</w:t>
      </w:r>
      <w:r>
        <w:rPr>
          <w:rFonts w:ascii="Times New Roman" w:hAnsi="Times New Roman" w:eastAsia="仿宋_GB2312"/>
          <w:color w:val="000000" w:themeColor="text1"/>
          <w:sz w:val="32"/>
          <w:szCs w:val="32"/>
        </w:rPr>
        <w:t>指县财政当年拨付的资金，主要包括一般公共预算拨款收入、政府性基金预算拨款收入、国有资本经营预算拨款收入。</w:t>
      </w:r>
    </w:p>
    <w:p w14:paraId="0C07065B">
      <w:pPr>
        <w:pStyle w:val="7"/>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rPr>
      </w:pPr>
      <w:r>
        <w:rPr>
          <w:rFonts w:ascii="Times New Roman" w:hAnsi="Times New Roman" w:eastAsia="黑体" w:cs="Times New Roman"/>
          <w:color w:val="000000" w:themeColor="text1"/>
          <w:sz w:val="32"/>
          <w:szCs w:val="32"/>
        </w:rPr>
        <w:t>二、</w:t>
      </w:r>
      <w:r>
        <w:rPr>
          <w:rFonts w:hint="eastAsia" w:ascii="Times New Roman" w:hAnsi="Times New Roman" w:eastAsia="黑体" w:cs="Times New Roman"/>
          <w:color w:val="000000" w:themeColor="text1"/>
          <w:sz w:val="32"/>
          <w:szCs w:val="32"/>
        </w:rPr>
        <w:t>财政专户管理资金</w:t>
      </w:r>
      <w:r>
        <w:rPr>
          <w:rFonts w:ascii="Times New Roman" w:hAnsi="Times New Roman" w:eastAsia="黑体" w:cs="Times New Roman"/>
          <w:color w:val="000000" w:themeColor="text1"/>
          <w:sz w:val="32"/>
          <w:szCs w:val="32"/>
        </w:rPr>
        <w:t>：</w:t>
      </w:r>
      <w:r>
        <w:rPr>
          <w:rFonts w:ascii="Times New Roman" w:hAnsi="Times New Roman" w:eastAsia="仿宋_GB2312" w:cs="Times New Roman"/>
          <w:color w:val="000000" w:themeColor="text1"/>
          <w:kern w:val="2"/>
          <w:sz w:val="32"/>
          <w:szCs w:val="32"/>
        </w:rPr>
        <w:t>指</w:t>
      </w:r>
      <w:r>
        <w:rPr>
          <w:rFonts w:hint="eastAsia" w:ascii="仿宋_GB2312" w:hAnsi="仿宋" w:eastAsia="仿宋_GB2312" w:cs="仿宋_GB2312"/>
          <w:sz w:val="32"/>
          <w:szCs w:val="32"/>
        </w:rPr>
        <w:t>缴入财政专户、实行专项管理的教育收费收入</w:t>
      </w:r>
      <w:r>
        <w:rPr>
          <w:rFonts w:ascii="Times New Roman" w:hAnsi="Times New Roman" w:eastAsia="仿宋_GB2312" w:cs="Times New Roman"/>
          <w:color w:val="000000" w:themeColor="text1"/>
          <w:kern w:val="2"/>
          <w:sz w:val="32"/>
          <w:szCs w:val="32"/>
        </w:rPr>
        <w:t>。</w:t>
      </w:r>
    </w:p>
    <w:p w14:paraId="58EA86CB">
      <w:pPr>
        <w:pStyle w:val="7"/>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rPr>
      </w:pPr>
      <w:r>
        <w:rPr>
          <w:rFonts w:ascii="Times New Roman" w:hAnsi="Times New Roman" w:eastAsia="黑体" w:cs="Times New Roman"/>
          <w:color w:val="000000" w:themeColor="text1"/>
          <w:sz w:val="32"/>
          <w:szCs w:val="32"/>
        </w:rPr>
        <w:t>三、其他收入：</w:t>
      </w:r>
      <w:r>
        <w:rPr>
          <w:rFonts w:ascii="Times New Roman" w:hAnsi="Times New Roman" w:eastAsia="仿宋_GB2312" w:cs="Times New Roman"/>
          <w:color w:val="000000" w:themeColor="text1"/>
          <w:kern w:val="2"/>
          <w:sz w:val="32"/>
          <w:szCs w:val="32"/>
        </w:rPr>
        <w:t>指除了财政拨款收入、</w:t>
      </w:r>
      <w:r>
        <w:rPr>
          <w:rFonts w:hint="eastAsia" w:ascii="Times New Roman" w:hAnsi="Times New Roman" w:eastAsia="仿宋_GB2312" w:cs="Times New Roman"/>
          <w:color w:val="000000" w:themeColor="text1"/>
          <w:kern w:val="2"/>
          <w:sz w:val="32"/>
          <w:szCs w:val="32"/>
        </w:rPr>
        <w:t>财政专户管理资金</w:t>
      </w:r>
      <w:r>
        <w:rPr>
          <w:rFonts w:ascii="Times New Roman" w:hAnsi="Times New Roman" w:eastAsia="仿宋_GB2312" w:cs="Times New Roman"/>
          <w:color w:val="000000" w:themeColor="text1"/>
          <w:kern w:val="2"/>
          <w:sz w:val="32"/>
          <w:szCs w:val="32"/>
        </w:rPr>
        <w:t>等以外的收入。</w:t>
      </w:r>
    </w:p>
    <w:p w14:paraId="249D05C5">
      <w:pPr>
        <w:pStyle w:val="7"/>
        <w:widowControl w:val="0"/>
        <w:adjustRightInd w:val="0"/>
        <w:snapToGrid w:val="0"/>
        <w:spacing w:before="0" w:beforeAutospacing="0" w:after="0" w:afterAutospacing="0" w:line="560" w:lineRule="exact"/>
        <w:ind w:firstLine="627" w:firstLineChars="196"/>
        <w:rPr>
          <w:rFonts w:ascii="仿宋_GB2312" w:hAnsi="仿宋" w:eastAsia="仿宋_GB2312" w:cs="仿宋_GB2312"/>
          <w:sz w:val="32"/>
          <w:szCs w:val="32"/>
        </w:rPr>
      </w:pPr>
      <w:r>
        <w:rPr>
          <w:rFonts w:ascii="Times New Roman" w:hAnsi="Times New Roman" w:eastAsia="黑体" w:cs="Times New Roman"/>
          <w:color w:val="000000" w:themeColor="text1"/>
          <w:sz w:val="32"/>
          <w:szCs w:val="32"/>
        </w:rPr>
        <w:t>四、上年结转</w:t>
      </w:r>
      <w:r>
        <w:rPr>
          <w:rFonts w:hint="eastAsia" w:ascii="Times New Roman" w:hAnsi="Times New Roman" w:eastAsia="黑体" w:cs="Times New Roman"/>
          <w:color w:val="000000" w:themeColor="text1"/>
          <w:sz w:val="32"/>
          <w:szCs w:val="32"/>
        </w:rPr>
        <w:t>结余资金</w:t>
      </w:r>
      <w:r>
        <w:rPr>
          <w:rFonts w:ascii="Times New Roman" w:hAnsi="Times New Roman" w:eastAsia="黑体" w:cs="Times New Roman"/>
          <w:color w:val="000000" w:themeColor="text1"/>
          <w:sz w:val="32"/>
          <w:szCs w:val="32"/>
        </w:rPr>
        <w:t>：</w:t>
      </w:r>
      <w:r>
        <w:rPr>
          <w:rFonts w:ascii="Times New Roman" w:hAnsi="Times New Roman" w:eastAsia="仿宋_GB2312" w:cs="Times New Roman"/>
          <w:color w:val="000000" w:themeColor="text1"/>
          <w:kern w:val="2"/>
          <w:sz w:val="32"/>
          <w:szCs w:val="32"/>
        </w:rPr>
        <w:t>指</w:t>
      </w:r>
      <w:r>
        <w:rPr>
          <w:rFonts w:hint="eastAsia" w:ascii="仿宋_GB2312" w:hAnsi="仿宋" w:eastAsia="仿宋_GB2312" w:cs="仿宋_GB2312"/>
          <w:sz w:val="32"/>
          <w:szCs w:val="32"/>
        </w:rPr>
        <w:t>包括财政拨款结转、财政拨款结余、财政专户管理资金结转结余和单位资金结转结余的资金。</w:t>
      </w:r>
    </w:p>
    <w:p w14:paraId="3B8D3E00">
      <w:pPr>
        <w:pStyle w:val="7"/>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kern w:val="2"/>
          <w:sz w:val="32"/>
          <w:szCs w:val="32"/>
        </w:rPr>
      </w:pPr>
      <w:r>
        <w:rPr>
          <w:rFonts w:ascii="Times New Roman" w:hAnsi="Times New Roman" w:eastAsia="黑体" w:cs="Times New Roman"/>
          <w:color w:val="000000" w:themeColor="text1"/>
          <w:sz w:val="32"/>
          <w:szCs w:val="32"/>
        </w:rPr>
        <w:t>五、结转下年：</w:t>
      </w:r>
      <w:r>
        <w:rPr>
          <w:rFonts w:ascii="Times New Roman" w:hAnsi="Times New Roman" w:eastAsia="仿宋_GB2312" w:cs="Times New Roman"/>
          <w:color w:val="000000" w:themeColor="text1"/>
          <w:kern w:val="2"/>
          <w:sz w:val="32"/>
          <w:szCs w:val="32"/>
        </w:rPr>
        <w:t>指以前年度预算安排、因客观条件发生变化无法按原计划实施，需以后年度按原用途继续使用的资金。</w:t>
      </w:r>
    </w:p>
    <w:p w14:paraId="206E4B73">
      <w:pPr>
        <w:pStyle w:val="7"/>
        <w:widowControl w:val="0"/>
        <w:adjustRightInd w:val="0"/>
        <w:snapToGrid w:val="0"/>
        <w:spacing w:before="0" w:beforeAutospacing="0" w:after="0" w:afterAutospacing="0" w:line="560" w:lineRule="exact"/>
        <w:ind w:firstLine="627" w:firstLineChars="196"/>
        <w:rPr>
          <w:rFonts w:ascii="Times New Roman" w:hAnsi="Times New Roman" w:eastAsia="仿宋_GB2312" w:cs="Times New Roman"/>
          <w:color w:val="000000" w:themeColor="text1"/>
          <w:sz w:val="32"/>
          <w:szCs w:val="32"/>
        </w:rPr>
      </w:pPr>
      <w:r>
        <w:rPr>
          <w:rFonts w:ascii="Times New Roman" w:hAnsi="Times New Roman" w:eastAsia="黑体" w:cs="Times New Roman"/>
          <w:color w:val="000000" w:themeColor="text1"/>
          <w:sz w:val="32"/>
          <w:szCs w:val="32"/>
        </w:rPr>
        <w:t>六、基本支出</w:t>
      </w:r>
      <w:r>
        <w:rPr>
          <w:rFonts w:ascii="Times New Roman" w:hAnsi="Times New Roman" w:eastAsia="仿宋_GB2312" w:cs="Times New Roman"/>
          <w:b/>
          <w:color w:val="000000" w:themeColor="text1"/>
          <w:sz w:val="32"/>
          <w:szCs w:val="32"/>
        </w:rPr>
        <w:t>：</w:t>
      </w:r>
      <w:r>
        <w:rPr>
          <w:rFonts w:ascii="Times New Roman" w:hAnsi="Times New Roman" w:eastAsia="仿宋_GB2312" w:cs="Times New Roman"/>
          <w:color w:val="000000" w:themeColor="text1"/>
          <w:sz w:val="32"/>
          <w:szCs w:val="32"/>
        </w:rPr>
        <w:t>指为保障机构正常运转、完成日常工作任务而发生的人员支出和公用支出。</w:t>
      </w:r>
    </w:p>
    <w:p w14:paraId="2088E88A">
      <w:pPr>
        <w:pStyle w:val="7"/>
        <w:widowControl w:val="0"/>
        <w:spacing w:before="0" w:beforeAutospacing="0" w:after="0" w:afterAutospacing="0" w:line="560" w:lineRule="exact"/>
        <w:ind w:firstLine="627" w:firstLineChars="196"/>
        <w:jc w:val="both"/>
        <w:rPr>
          <w:rFonts w:ascii="Times New Roman" w:hAnsi="Times New Roman" w:eastAsia="仿宋_GB2312" w:cs="Times New Roman"/>
          <w:b/>
          <w:color w:val="000000" w:themeColor="text1"/>
          <w:sz w:val="32"/>
          <w:szCs w:val="32"/>
        </w:rPr>
      </w:pPr>
      <w:r>
        <w:rPr>
          <w:rFonts w:ascii="Times New Roman" w:hAnsi="Times New Roman" w:eastAsia="黑体" w:cs="Times New Roman"/>
          <w:color w:val="000000" w:themeColor="text1"/>
          <w:sz w:val="32"/>
          <w:szCs w:val="32"/>
        </w:rPr>
        <w:t>七、项目支出</w:t>
      </w:r>
      <w:r>
        <w:rPr>
          <w:rFonts w:ascii="Times New Roman" w:hAnsi="Times New Roman" w:eastAsia="仿宋_GB2312" w:cs="Times New Roman"/>
          <w:b/>
          <w:color w:val="000000" w:themeColor="text1"/>
          <w:sz w:val="32"/>
          <w:szCs w:val="32"/>
        </w:rPr>
        <w:t>：</w:t>
      </w:r>
      <w:r>
        <w:rPr>
          <w:rFonts w:ascii="Times New Roman" w:hAnsi="Times New Roman" w:eastAsia="仿宋_GB2312" w:cs="Times New Roman"/>
          <w:color w:val="000000" w:themeColor="text1"/>
          <w:sz w:val="32"/>
          <w:szCs w:val="32"/>
        </w:rPr>
        <w:t>指在基本支出之外为完成特定行政任务和事业发展目标所发生的支出。</w:t>
      </w:r>
      <w:r>
        <w:rPr>
          <w:rFonts w:ascii="Times New Roman" w:hAnsi="Times New Roman" w:eastAsia="仿宋_GB2312" w:cs="Times New Roman"/>
          <w:color w:val="000000" w:themeColor="text1"/>
          <w:sz w:val="32"/>
          <w:szCs w:val="32"/>
        </w:rPr>
        <w:br w:type="textWrapping"/>
      </w:r>
      <w:r>
        <w:rPr>
          <w:rFonts w:hint="eastAsia" w:ascii="Times New Roman" w:hAnsi="Times New Roman" w:eastAsia="黑体" w:cs="Times New Roman"/>
          <w:color w:val="000000" w:themeColor="text1"/>
          <w:sz w:val="32"/>
          <w:szCs w:val="32"/>
        </w:rPr>
        <w:t xml:space="preserve">    </w:t>
      </w:r>
      <w:r>
        <w:rPr>
          <w:rFonts w:ascii="Times New Roman" w:hAnsi="Times New Roman" w:eastAsia="黑体" w:cs="Times New Roman"/>
          <w:color w:val="000000" w:themeColor="text1"/>
          <w:sz w:val="32"/>
          <w:szCs w:val="32"/>
        </w:rPr>
        <w:t>八、“三公”经费：</w:t>
      </w:r>
      <w:r>
        <w:rPr>
          <w:rFonts w:ascii="Times New Roman" w:hAnsi="Times New Roman" w:eastAsia="仿宋_GB2312" w:cs="Times New Roman"/>
          <w:color w:val="000000" w:themeColor="text1"/>
          <w:sz w:val="32"/>
          <w:szCs w:val="32"/>
        </w:rPr>
        <w:t>纳入财政预决算管理的“三公”经费，是指单位用</w:t>
      </w:r>
      <w:r>
        <w:rPr>
          <w:rFonts w:hint="eastAsia" w:ascii="仿宋_GB2312" w:hAnsi="黑体" w:eastAsia="仿宋_GB2312"/>
          <w:color w:val="000000" w:themeColor="text1"/>
          <w:sz w:val="32"/>
          <w:szCs w:val="32"/>
        </w:rPr>
        <w:t>一般公共预算</w:t>
      </w:r>
      <w:r>
        <w:rPr>
          <w:rFonts w:ascii="Times New Roman" w:hAnsi="Times New Roman" w:eastAsia="仿宋_GB2312" w:cs="Times New Roman"/>
          <w:color w:val="000000" w:themeColor="text1"/>
          <w:sz w:val="32"/>
          <w:szCs w:val="32"/>
        </w:rPr>
        <w:t>财政拨款安排的因公出国（境）费、公务用车购置及运行费和公务接待费。其中，因公出国（境）费反映单位公务出国（境）的国际旅费、国外城县间交通费、住宿费、伙食费、培训费、公杂费等支出；公务用车购置及运行费反映单位公务用车购置支出（含车辆购置税）及燃料费、维修费、过桥过路费、保险费、安全奖励费用等支出；公务接待费反映单位按规定开支的各类公务接待（含外宾接待）支出。</w:t>
      </w:r>
    </w:p>
    <w:p w14:paraId="1E79BD80">
      <w:pPr>
        <w:pStyle w:val="7"/>
        <w:widowControl w:val="0"/>
        <w:spacing w:before="0" w:beforeAutospacing="0" w:after="0" w:afterAutospacing="0" w:line="560" w:lineRule="exact"/>
        <w:ind w:firstLine="627" w:firstLineChars="196"/>
        <w:jc w:val="both"/>
        <w:rPr>
          <w:rFonts w:ascii="Times New Roman" w:hAnsi="Times New Roman" w:eastAsia="仿宋_GB2312" w:cs="Times New Roman"/>
          <w:color w:val="000000" w:themeColor="text1"/>
          <w:sz w:val="32"/>
          <w:szCs w:val="32"/>
        </w:rPr>
      </w:pPr>
      <w:r>
        <w:rPr>
          <w:rFonts w:ascii="Times New Roman" w:hAnsi="Times New Roman" w:eastAsia="黑体" w:cs="Times New Roman"/>
          <w:color w:val="000000" w:themeColor="text1"/>
          <w:sz w:val="32"/>
          <w:szCs w:val="32"/>
        </w:rPr>
        <w:t>九、机关运行经费</w:t>
      </w:r>
      <w:r>
        <w:rPr>
          <w:rFonts w:ascii="Times New Roman" w:hAnsi="Times New Roman" w:eastAsia="仿宋_GB2312" w:cs="Times New Roman"/>
          <w:color w:val="000000" w:themeColor="text1"/>
          <w:sz w:val="32"/>
          <w:szCs w:val="32"/>
        </w:rPr>
        <w:t>：指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等。</w:t>
      </w:r>
    </w:p>
    <w:p w14:paraId="2B9C09F7">
      <w:pPr>
        <w:spacing w:line="560" w:lineRule="exact"/>
        <w:ind w:firstLine="640" w:firstLineChars="200"/>
        <w:rPr>
          <w:rFonts w:ascii="Times New Roman" w:hAnsi="Times New Roman" w:eastAsia="楷体"/>
          <w:color w:val="000000" w:themeColor="text1"/>
          <w:sz w:val="32"/>
          <w:szCs w:val="32"/>
        </w:rPr>
      </w:pPr>
      <w:r>
        <w:rPr>
          <w:rFonts w:ascii="Times New Roman" w:hAnsi="Times New Roman" w:eastAsia="黑体"/>
          <w:color w:val="000000" w:themeColor="text1"/>
          <w:sz w:val="32"/>
          <w:szCs w:val="32"/>
        </w:rPr>
        <w:t>附表：</w:t>
      </w:r>
      <w:r>
        <w:rPr>
          <w:rFonts w:hint="eastAsia" w:ascii="Times New Roman" w:hAnsi="Times New Roman" w:eastAsia="仿宋_GB2312" w:cs="Times New Roman"/>
          <w:color w:val="000000" w:themeColor="text1"/>
          <w:sz w:val="32"/>
          <w:szCs w:val="32"/>
          <w:lang w:eastAsia="zh-CN"/>
        </w:rPr>
        <w:t>霍山县人民检察院</w:t>
      </w:r>
      <w:r>
        <w:rPr>
          <w:rFonts w:hint="eastAsia" w:ascii="Times New Roman" w:hAnsi="Times New Roman" w:eastAsia="仿宋_GB2312" w:cs="Times New Roman"/>
          <w:color w:val="000000" w:themeColor="text1"/>
          <w:sz w:val="32"/>
          <w:szCs w:val="32"/>
          <w:lang w:val="en-US" w:eastAsia="zh-CN"/>
        </w:rPr>
        <w:t>2</w:t>
      </w:r>
      <w:r>
        <w:rPr>
          <w:rFonts w:hint="eastAsia" w:ascii="Times New Roman" w:hAnsi="Times New Roman" w:eastAsia="仿宋_GB2312"/>
          <w:color w:val="000000" w:themeColor="text1"/>
          <w:sz w:val="32"/>
          <w:szCs w:val="32"/>
        </w:rPr>
        <w:t>023年预算报表</w:t>
      </w:r>
      <w:r>
        <w:rPr>
          <w:rFonts w:ascii="Times New Roman" w:hAnsi="Times New Roman" w:eastAsia="仿宋_GB2312"/>
          <w:color w:val="000000" w:themeColor="text1"/>
          <w:sz w:val="32"/>
          <w:szCs w:val="32"/>
        </w:rPr>
        <w:t>（1</w:t>
      </w:r>
      <w:r>
        <w:rPr>
          <w:rFonts w:hint="eastAsia" w:ascii="Times New Roman" w:hAnsi="Times New Roman" w:eastAsia="仿宋_GB2312"/>
          <w:color w:val="000000" w:themeColor="text1"/>
          <w:sz w:val="32"/>
          <w:szCs w:val="32"/>
        </w:rPr>
        <w:t>4</w:t>
      </w:r>
      <w:r>
        <w:rPr>
          <w:rFonts w:ascii="Times New Roman" w:hAnsi="Times New Roman" w:eastAsia="仿宋_GB2312"/>
          <w:color w:val="000000" w:themeColor="text1"/>
          <w:sz w:val="32"/>
          <w:szCs w:val="32"/>
        </w:rPr>
        <w:t>张）</w:t>
      </w:r>
    </w:p>
    <w:p w14:paraId="525DB045">
      <w:pPr>
        <w:spacing w:line="600" w:lineRule="exact"/>
        <w:rPr>
          <w:rFonts w:ascii="Times New Roman" w:hAnsi="Times New Roman" w:eastAsia="黑体"/>
          <w:color w:val="000000" w:themeColor="text1"/>
          <w:sz w:val="32"/>
          <w:szCs w:val="32"/>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altName w:val="微软雅黑"/>
    <w:panose1 w:val="0201050906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5497976"/>
    </w:sdtPr>
    <w:sdtEndPr>
      <w:rPr>
        <w:rFonts w:asciiTheme="minorEastAsia" w:hAnsiTheme="minorEastAsia" w:eastAsiaTheme="minorEastAsia"/>
        <w:sz w:val="28"/>
        <w:szCs w:val="28"/>
      </w:rPr>
    </w:sdtEndPr>
    <w:sdtContent>
      <w:p w14:paraId="69E63AEE">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17 -</w:t>
        </w:r>
        <w:r>
          <w:rPr>
            <w:rFonts w:asciiTheme="minorEastAsia" w:hAnsiTheme="minorEastAsia" w:eastAsiaTheme="minorEastAsia"/>
            <w:sz w:val="28"/>
            <w:szCs w:val="28"/>
          </w:rPr>
          <w:fldChar w:fldCharType="end"/>
        </w:r>
      </w:p>
    </w:sdtContent>
  </w:sdt>
  <w:p w14:paraId="27DE96CB">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3319664"/>
    </w:sdtPr>
    <w:sdtContent>
      <w:p w14:paraId="04619356">
        <w:pPr>
          <w:pStyle w:val="5"/>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18 -</w:t>
        </w:r>
        <w:r>
          <w:rPr>
            <w:rFonts w:asciiTheme="minorEastAsia" w:hAnsiTheme="minorEastAsia" w:eastAsiaTheme="minorEastAsia"/>
            <w:sz w:val="28"/>
            <w:szCs w:val="28"/>
          </w:rPr>
          <w:fldChar w:fldCharType="end"/>
        </w:r>
      </w:p>
    </w:sdtContent>
  </w:sdt>
  <w:p w14:paraId="41C13E65">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3743853"/>
    </w:sdtPr>
    <w:sdtEndPr>
      <w:rPr>
        <w:rFonts w:asciiTheme="minorEastAsia" w:hAnsiTheme="minorEastAsia" w:eastAsiaTheme="minorEastAsia"/>
        <w:sz w:val="28"/>
        <w:szCs w:val="28"/>
      </w:rPr>
    </w:sdtEndPr>
    <w:sdtContent>
      <w:p w14:paraId="1B2BD81A">
        <w:pPr>
          <w:pStyle w:val="5"/>
          <w:jc w:val="right"/>
          <w:rPr>
            <w:rFonts w:asciiTheme="minorEastAsia" w:hAnsiTheme="minorEastAsia" w:eastAsiaTheme="minorEastAsia"/>
            <w:sz w:val="28"/>
            <w:szCs w:val="28"/>
          </w:r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w:t>
        </w:r>
        <w:r>
          <w:rPr>
            <w:rFonts w:asciiTheme="minorEastAsia" w:hAnsiTheme="minorEastAsia" w:eastAsiaTheme="minorEastAsia"/>
            <w:sz w:val="28"/>
            <w:szCs w:val="28"/>
          </w:rPr>
          <w:t xml:space="preserve"> 1 -</w:t>
        </w:r>
        <w:r>
          <w:rPr>
            <w:rFonts w:asciiTheme="minorEastAsia" w:hAnsiTheme="minorEastAsia" w:eastAsiaTheme="minorEastAsia"/>
            <w:sz w:val="28"/>
            <w:szCs w:val="28"/>
          </w:rPr>
          <w:fldChar w:fldCharType="end"/>
        </w:r>
      </w:p>
    </w:sdtContent>
  </w:sdt>
  <w:p w14:paraId="63A45BAC">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EED70">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9F72">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747BA">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FE518A"/>
    <w:multiLevelType w:val="singleLevel"/>
    <w:tmpl w:val="CCFE518A"/>
    <w:lvl w:ilvl="0" w:tentative="0">
      <w:start w:val="2"/>
      <w:numFmt w:val="decimal"/>
      <w:lvlText w:val="%1."/>
      <w:lvlJc w:val="left"/>
      <w:pPr>
        <w:tabs>
          <w:tab w:val="left" w:pos="312"/>
        </w:tabs>
      </w:pPr>
    </w:lvl>
  </w:abstractNum>
  <w:abstractNum w:abstractNumId="1">
    <w:nsid w:val="00000001"/>
    <w:multiLevelType w:val="multilevel"/>
    <w:tmpl w:val="00000001"/>
    <w:lvl w:ilvl="0" w:tentative="0">
      <w:start w:val="1"/>
      <w:numFmt w:val="none"/>
      <w:suff w:val="space"/>
      <w:lvlText w:val=""/>
      <w:lvlJc w:val="center"/>
      <w:pPr>
        <w:ind w:firstLine="288"/>
      </w:pPr>
      <w:rPr>
        <w:rFonts w:hint="eastAsia" w:cs="Times New Roman"/>
      </w:rPr>
    </w:lvl>
    <w:lvl w:ilvl="1" w:tentative="0">
      <w:start w:val="1"/>
      <w:numFmt w:val="chineseCountingThousand"/>
      <w:suff w:val="space"/>
      <w:lvlText w:val="第%2章"/>
      <w:lvlJc w:val="center"/>
      <w:pPr>
        <w:ind w:firstLine="288"/>
      </w:pPr>
      <w:rPr>
        <w:rFonts w:hint="eastAsia" w:eastAsia="黑体" w:cs="Times New Roman"/>
        <w:sz w:val="32"/>
      </w:rPr>
    </w:lvl>
    <w:lvl w:ilvl="2" w:tentative="0">
      <w:start w:val="1"/>
      <w:numFmt w:val="chineseCountingThousand"/>
      <w:suff w:val="space"/>
      <w:lvlText w:val="第%3节"/>
      <w:lvlJc w:val="center"/>
      <w:pPr>
        <w:ind w:left="-146" w:firstLine="288"/>
      </w:pPr>
      <w:rPr>
        <w:rFonts w:cs="Times New Roman"/>
      </w:rPr>
    </w:lvl>
    <w:lvl w:ilvl="3" w:tentative="0">
      <w:start w:val="1"/>
      <w:numFmt w:val="chineseCountingThousand"/>
      <w:pStyle w:val="2"/>
      <w:suff w:val="nothing"/>
      <w:lvlText w:val="%4、"/>
      <w:lvlJc w:val="left"/>
      <w:pPr>
        <w:ind w:left="2328" w:hanging="1988"/>
      </w:pPr>
      <w:rPr>
        <w:rFonts w:hint="eastAsia" w:ascii="Times New Roman" w:hAnsi="Times New Roman" w:cs="Times New Roman"/>
        <w:b w:val="0"/>
        <w:i w:val="0"/>
        <w:iCs w:val="0"/>
        <w:caps w:val="0"/>
        <w:smallCaps w:val="0"/>
        <w:vanish w:val="0"/>
        <w:spacing w:val="0"/>
        <w:kern w:val="0"/>
        <w:position w:val="0"/>
        <w:u w:val="none"/>
        <w:vertAlign w:val="baseline"/>
      </w:rPr>
    </w:lvl>
    <w:lvl w:ilvl="4" w:tentative="0">
      <w:start w:val="1"/>
      <w:numFmt w:val="decimal"/>
      <w:suff w:val="nothing"/>
      <w:lvlText w:val="%5、"/>
      <w:lvlJc w:val="left"/>
      <w:pPr>
        <w:ind w:left="57" w:firstLine="510"/>
      </w:pPr>
      <w:rPr>
        <w:rFonts w:hint="eastAsia" w:ascii="Times New Roman" w:hAnsi="Times New Roman" w:cs="Times New Roman"/>
        <w:b w:val="0"/>
        <w:i w:val="0"/>
        <w:iCs w:val="0"/>
        <w:caps w:val="0"/>
        <w:smallCaps w:val="0"/>
        <w:vanish w:val="0"/>
        <w:spacing w:val="0"/>
        <w:kern w:val="0"/>
        <w:position w:val="0"/>
        <w:u w:val="none"/>
        <w:vertAlign w:val="baseline"/>
      </w:rPr>
    </w:lvl>
    <w:lvl w:ilvl="5" w:tentative="0">
      <w:start w:val="1"/>
      <w:numFmt w:val="decimal"/>
      <w:suff w:val="nothing"/>
      <w:lvlText w:val="%6）"/>
      <w:lvlJc w:val="left"/>
      <w:pPr>
        <w:ind w:left="199" w:firstLine="510"/>
      </w:pPr>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2">
    <w:nsid w:val="48F96C3E"/>
    <w:multiLevelType w:val="singleLevel"/>
    <w:tmpl w:val="48F96C3E"/>
    <w:lvl w:ilvl="0" w:tentative="0">
      <w:start w:val="3"/>
      <w:numFmt w:val="chineseCounting"/>
      <w:suff w:val="space"/>
      <w:lvlText w:val="第%1部分"/>
      <w:lvlJc w:val="left"/>
      <w:rPr>
        <w:rFonts w:hint="eastAsia"/>
      </w:rPr>
    </w:lvl>
  </w:abstractNum>
  <w:abstractNum w:abstractNumId="3">
    <w:nsid w:val="6CE2505F"/>
    <w:multiLevelType w:val="singleLevel"/>
    <w:tmpl w:val="6CE2505F"/>
    <w:lvl w:ilvl="0" w:tentative="0">
      <w:start w:val="13"/>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JjNGZjNTQwY2FkNWI5ZTY4MzA3OTNmM2MyNzI2NWMifQ=="/>
  </w:docVars>
  <w:rsids>
    <w:rsidRoot w:val="00830C4C"/>
    <w:rsid w:val="00000551"/>
    <w:rsid w:val="00001B94"/>
    <w:rsid w:val="0000535D"/>
    <w:rsid w:val="00007343"/>
    <w:rsid w:val="00010179"/>
    <w:rsid w:val="00011AD2"/>
    <w:rsid w:val="00021FA6"/>
    <w:rsid w:val="000236AD"/>
    <w:rsid w:val="0002492E"/>
    <w:rsid w:val="00025077"/>
    <w:rsid w:val="000275B2"/>
    <w:rsid w:val="00027CCA"/>
    <w:rsid w:val="00030CBF"/>
    <w:rsid w:val="000336CA"/>
    <w:rsid w:val="00037A70"/>
    <w:rsid w:val="000417D9"/>
    <w:rsid w:val="00043BC6"/>
    <w:rsid w:val="00044146"/>
    <w:rsid w:val="00044173"/>
    <w:rsid w:val="000442BB"/>
    <w:rsid w:val="0004465A"/>
    <w:rsid w:val="0005187A"/>
    <w:rsid w:val="000519FA"/>
    <w:rsid w:val="0005484A"/>
    <w:rsid w:val="00056291"/>
    <w:rsid w:val="00061583"/>
    <w:rsid w:val="0006321A"/>
    <w:rsid w:val="00063F13"/>
    <w:rsid w:val="00065B2F"/>
    <w:rsid w:val="00067122"/>
    <w:rsid w:val="00072ACA"/>
    <w:rsid w:val="00073750"/>
    <w:rsid w:val="00073872"/>
    <w:rsid w:val="00074140"/>
    <w:rsid w:val="00076587"/>
    <w:rsid w:val="00076A5B"/>
    <w:rsid w:val="00080D7C"/>
    <w:rsid w:val="00081FDA"/>
    <w:rsid w:val="00082CF3"/>
    <w:rsid w:val="00084A86"/>
    <w:rsid w:val="00085FBE"/>
    <w:rsid w:val="000874BC"/>
    <w:rsid w:val="00087697"/>
    <w:rsid w:val="00090371"/>
    <w:rsid w:val="0009079C"/>
    <w:rsid w:val="000917D4"/>
    <w:rsid w:val="000922B4"/>
    <w:rsid w:val="000923D0"/>
    <w:rsid w:val="000925A3"/>
    <w:rsid w:val="00092ACA"/>
    <w:rsid w:val="000952A0"/>
    <w:rsid w:val="00095CD5"/>
    <w:rsid w:val="00097E9C"/>
    <w:rsid w:val="000A140F"/>
    <w:rsid w:val="000A376D"/>
    <w:rsid w:val="000A3A07"/>
    <w:rsid w:val="000A5401"/>
    <w:rsid w:val="000A69A4"/>
    <w:rsid w:val="000A78A4"/>
    <w:rsid w:val="000B1CEF"/>
    <w:rsid w:val="000B1F1B"/>
    <w:rsid w:val="000B310D"/>
    <w:rsid w:val="000B3B4D"/>
    <w:rsid w:val="000B57CE"/>
    <w:rsid w:val="000B75CC"/>
    <w:rsid w:val="000B7CEB"/>
    <w:rsid w:val="000C0866"/>
    <w:rsid w:val="000C2B2C"/>
    <w:rsid w:val="000C2B3D"/>
    <w:rsid w:val="000C313C"/>
    <w:rsid w:val="000C3D33"/>
    <w:rsid w:val="000C3FE1"/>
    <w:rsid w:val="000C5319"/>
    <w:rsid w:val="000C60D4"/>
    <w:rsid w:val="000C7554"/>
    <w:rsid w:val="000D0AD5"/>
    <w:rsid w:val="000D12E9"/>
    <w:rsid w:val="000D17B5"/>
    <w:rsid w:val="000D213E"/>
    <w:rsid w:val="000D2E66"/>
    <w:rsid w:val="000D3B7D"/>
    <w:rsid w:val="000D3C09"/>
    <w:rsid w:val="000D4289"/>
    <w:rsid w:val="000D509C"/>
    <w:rsid w:val="000D5766"/>
    <w:rsid w:val="000E05E9"/>
    <w:rsid w:val="000E203A"/>
    <w:rsid w:val="000E2A17"/>
    <w:rsid w:val="000E592F"/>
    <w:rsid w:val="000F0A8D"/>
    <w:rsid w:val="000F3AE4"/>
    <w:rsid w:val="000F3C4D"/>
    <w:rsid w:val="000F3DB3"/>
    <w:rsid w:val="000F41B6"/>
    <w:rsid w:val="000F71EA"/>
    <w:rsid w:val="00102140"/>
    <w:rsid w:val="00102422"/>
    <w:rsid w:val="00102AFA"/>
    <w:rsid w:val="001042A3"/>
    <w:rsid w:val="00104A57"/>
    <w:rsid w:val="00104DB6"/>
    <w:rsid w:val="00105BE8"/>
    <w:rsid w:val="001112F4"/>
    <w:rsid w:val="00112879"/>
    <w:rsid w:val="00112D89"/>
    <w:rsid w:val="001137AF"/>
    <w:rsid w:val="00114D2C"/>
    <w:rsid w:val="001155D8"/>
    <w:rsid w:val="001221E4"/>
    <w:rsid w:val="001223FF"/>
    <w:rsid w:val="00123B1C"/>
    <w:rsid w:val="001243BE"/>
    <w:rsid w:val="00125468"/>
    <w:rsid w:val="00125B29"/>
    <w:rsid w:val="00126856"/>
    <w:rsid w:val="00130CD7"/>
    <w:rsid w:val="00131805"/>
    <w:rsid w:val="00132BF1"/>
    <w:rsid w:val="0013429F"/>
    <w:rsid w:val="00134B96"/>
    <w:rsid w:val="00137B00"/>
    <w:rsid w:val="00140C87"/>
    <w:rsid w:val="00142525"/>
    <w:rsid w:val="001427FD"/>
    <w:rsid w:val="001438F4"/>
    <w:rsid w:val="001458DF"/>
    <w:rsid w:val="00146D59"/>
    <w:rsid w:val="00147167"/>
    <w:rsid w:val="00147E08"/>
    <w:rsid w:val="00147FA4"/>
    <w:rsid w:val="00151AF6"/>
    <w:rsid w:val="00151B71"/>
    <w:rsid w:val="00153E3F"/>
    <w:rsid w:val="00154CC3"/>
    <w:rsid w:val="00155D64"/>
    <w:rsid w:val="0016123D"/>
    <w:rsid w:val="001619E7"/>
    <w:rsid w:val="00162A76"/>
    <w:rsid w:val="0016317C"/>
    <w:rsid w:val="001641B7"/>
    <w:rsid w:val="00166712"/>
    <w:rsid w:val="001667A9"/>
    <w:rsid w:val="0016765C"/>
    <w:rsid w:val="00170F5B"/>
    <w:rsid w:val="00172BC7"/>
    <w:rsid w:val="00173E8A"/>
    <w:rsid w:val="00176168"/>
    <w:rsid w:val="00176875"/>
    <w:rsid w:val="00176EAA"/>
    <w:rsid w:val="00182678"/>
    <w:rsid w:val="001861FC"/>
    <w:rsid w:val="00190DDC"/>
    <w:rsid w:val="00191232"/>
    <w:rsid w:val="001919D8"/>
    <w:rsid w:val="00192CBE"/>
    <w:rsid w:val="00192E0D"/>
    <w:rsid w:val="00194ED1"/>
    <w:rsid w:val="001969CA"/>
    <w:rsid w:val="00197A0A"/>
    <w:rsid w:val="001A0300"/>
    <w:rsid w:val="001A069F"/>
    <w:rsid w:val="001A3E28"/>
    <w:rsid w:val="001A4329"/>
    <w:rsid w:val="001A5951"/>
    <w:rsid w:val="001A692F"/>
    <w:rsid w:val="001B12FC"/>
    <w:rsid w:val="001B173D"/>
    <w:rsid w:val="001B3112"/>
    <w:rsid w:val="001B353B"/>
    <w:rsid w:val="001B4580"/>
    <w:rsid w:val="001B4746"/>
    <w:rsid w:val="001B6666"/>
    <w:rsid w:val="001B6B73"/>
    <w:rsid w:val="001B7723"/>
    <w:rsid w:val="001C0C12"/>
    <w:rsid w:val="001C0CF1"/>
    <w:rsid w:val="001C0F06"/>
    <w:rsid w:val="001C35B2"/>
    <w:rsid w:val="001C43C8"/>
    <w:rsid w:val="001C5A4A"/>
    <w:rsid w:val="001C679D"/>
    <w:rsid w:val="001C6F16"/>
    <w:rsid w:val="001C73A2"/>
    <w:rsid w:val="001D15D8"/>
    <w:rsid w:val="001D1989"/>
    <w:rsid w:val="001D3F6F"/>
    <w:rsid w:val="001D515D"/>
    <w:rsid w:val="001D52C0"/>
    <w:rsid w:val="001D646F"/>
    <w:rsid w:val="001D7568"/>
    <w:rsid w:val="001D7EFB"/>
    <w:rsid w:val="001E152F"/>
    <w:rsid w:val="001E74D0"/>
    <w:rsid w:val="001E7983"/>
    <w:rsid w:val="001F21F2"/>
    <w:rsid w:val="001F4DE2"/>
    <w:rsid w:val="001F54D3"/>
    <w:rsid w:val="001F7A88"/>
    <w:rsid w:val="001F7C48"/>
    <w:rsid w:val="0020004C"/>
    <w:rsid w:val="00201187"/>
    <w:rsid w:val="00203884"/>
    <w:rsid w:val="002056C3"/>
    <w:rsid w:val="00206F1B"/>
    <w:rsid w:val="00207714"/>
    <w:rsid w:val="002113D3"/>
    <w:rsid w:val="00212F3D"/>
    <w:rsid w:val="0021417F"/>
    <w:rsid w:val="00214208"/>
    <w:rsid w:val="002153CB"/>
    <w:rsid w:val="00216994"/>
    <w:rsid w:val="00216B63"/>
    <w:rsid w:val="002201D8"/>
    <w:rsid w:val="00220E02"/>
    <w:rsid w:val="002219D1"/>
    <w:rsid w:val="00223791"/>
    <w:rsid w:val="00224107"/>
    <w:rsid w:val="00226CB9"/>
    <w:rsid w:val="002311D6"/>
    <w:rsid w:val="0023652F"/>
    <w:rsid w:val="00242688"/>
    <w:rsid w:val="00242C43"/>
    <w:rsid w:val="00242DF2"/>
    <w:rsid w:val="002430DA"/>
    <w:rsid w:val="00243E90"/>
    <w:rsid w:val="00245535"/>
    <w:rsid w:val="0024617D"/>
    <w:rsid w:val="0024619D"/>
    <w:rsid w:val="00246EBE"/>
    <w:rsid w:val="00247F3D"/>
    <w:rsid w:val="00250317"/>
    <w:rsid w:val="00251133"/>
    <w:rsid w:val="00251E0F"/>
    <w:rsid w:val="00251FC8"/>
    <w:rsid w:val="002520A9"/>
    <w:rsid w:val="0025270F"/>
    <w:rsid w:val="00252BED"/>
    <w:rsid w:val="00253508"/>
    <w:rsid w:val="00253522"/>
    <w:rsid w:val="00254ECC"/>
    <w:rsid w:val="002573A0"/>
    <w:rsid w:val="0026178F"/>
    <w:rsid w:val="0026313D"/>
    <w:rsid w:val="00263939"/>
    <w:rsid w:val="00263F02"/>
    <w:rsid w:val="00265972"/>
    <w:rsid w:val="00267A3D"/>
    <w:rsid w:val="00267FE0"/>
    <w:rsid w:val="002705D9"/>
    <w:rsid w:val="0027484D"/>
    <w:rsid w:val="00274CA5"/>
    <w:rsid w:val="00275BEF"/>
    <w:rsid w:val="00275D48"/>
    <w:rsid w:val="00276556"/>
    <w:rsid w:val="00281FC9"/>
    <w:rsid w:val="002822EB"/>
    <w:rsid w:val="0028258A"/>
    <w:rsid w:val="00282C62"/>
    <w:rsid w:val="00284080"/>
    <w:rsid w:val="00285047"/>
    <w:rsid w:val="00286406"/>
    <w:rsid w:val="00286797"/>
    <w:rsid w:val="002879D7"/>
    <w:rsid w:val="00290C58"/>
    <w:rsid w:val="00291C01"/>
    <w:rsid w:val="00291D54"/>
    <w:rsid w:val="00293670"/>
    <w:rsid w:val="002952C6"/>
    <w:rsid w:val="00295FDA"/>
    <w:rsid w:val="002978C5"/>
    <w:rsid w:val="002A02BB"/>
    <w:rsid w:val="002A4301"/>
    <w:rsid w:val="002A44CF"/>
    <w:rsid w:val="002A4AFD"/>
    <w:rsid w:val="002A6015"/>
    <w:rsid w:val="002A66EB"/>
    <w:rsid w:val="002B2337"/>
    <w:rsid w:val="002B3929"/>
    <w:rsid w:val="002B462F"/>
    <w:rsid w:val="002B4F1A"/>
    <w:rsid w:val="002B6B7E"/>
    <w:rsid w:val="002C0026"/>
    <w:rsid w:val="002C06F9"/>
    <w:rsid w:val="002C14E7"/>
    <w:rsid w:val="002C2437"/>
    <w:rsid w:val="002C420B"/>
    <w:rsid w:val="002C4A23"/>
    <w:rsid w:val="002C6A15"/>
    <w:rsid w:val="002D6745"/>
    <w:rsid w:val="002D760E"/>
    <w:rsid w:val="002E0017"/>
    <w:rsid w:val="002E0689"/>
    <w:rsid w:val="002E1983"/>
    <w:rsid w:val="002E1BBA"/>
    <w:rsid w:val="002E3166"/>
    <w:rsid w:val="002E5835"/>
    <w:rsid w:val="002E5848"/>
    <w:rsid w:val="002E5E4E"/>
    <w:rsid w:val="002E6ADF"/>
    <w:rsid w:val="002E753C"/>
    <w:rsid w:val="002F06B6"/>
    <w:rsid w:val="002F1174"/>
    <w:rsid w:val="002F2A60"/>
    <w:rsid w:val="002F6324"/>
    <w:rsid w:val="00303B16"/>
    <w:rsid w:val="00304CA1"/>
    <w:rsid w:val="00305473"/>
    <w:rsid w:val="00305977"/>
    <w:rsid w:val="00306232"/>
    <w:rsid w:val="00306881"/>
    <w:rsid w:val="00307FB8"/>
    <w:rsid w:val="00311FE9"/>
    <w:rsid w:val="00312633"/>
    <w:rsid w:val="00315400"/>
    <w:rsid w:val="00315C4D"/>
    <w:rsid w:val="00316D7F"/>
    <w:rsid w:val="003207C7"/>
    <w:rsid w:val="003222AF"/>
    <w:rsid w:val="00322D12"/>
    <w:rsid w:val="00324244"/>
    <w:rsid w:val="00333A64"/>
    <w:rsid w:val="003352FE"/>
    <w:rsid w:val="00335B1E"/>
    <w:rsid w:val="0034371C"/>
    <w:rsid w:val="003445F4"/>
    <w:rsid w:val="003446EF"/>
    <w:rsid w:val="003454CE"/>
    <w:rsid w:val="00345E88"/>
    <w:rsid w:val="003464B4"/>
    <w:rsid w:val="00347E2E"/>
    <w:rsid w:val="0035100C"/>
    <w:rsid w:val="003516D4"/>
    <w:rsid w:val="00351B21"/>
    <w:rsid w:val="00354026"/>
    <w:rsid w:val="003541D5"/>
    <w:rsid w:val="00354306"/>
    <w:rsid w:val="00354371"/>
    <w:rsid w:val="0035478E"/>
    <w:rsid w:val="0035744F"/>
    <w:rsid w:val="0036119D"/>
    <w:rsid w:val="003613FF"/>
    <w:rsid w:val="00361DD0"/>
    <w:rsid w:val="00363DE8"/>
    <w:rsid w:val="003655CE"/>
    <w:rsid w:val="003675D2"/>
    <w:rsid w:val="003704F8"/>
    <w:rsid w:val="00370AE8"/>
    <w:rsid w:val="00372A5C"/>
    <w:rsid w:val="00372A9D"/>
    <w:rsid w:val="00372EF5"/>
    <w:rsid w:val="00373E72"/>
    <w:rsid w:val="00375E4B"/>
    <w:rsid w:val="00375EC8"/>
    <w:rsid w:val="00376114"/>
    <w:rsid w:val="003769A8"/>
    <w:rsid w:val="00376D7F"/>
    <w:rsid w:val="00376FF1"/>
    <w:rsid w:val="00377232"/>
    <w:rsid w:val="0037737B"/>
    <w:rsid w:val="003808CD"/>
    <w:rsid w:val="003903A9"/>
    <w:rsid w:val="00390D65"/>
    <w:rsid w:val="00391EA4"/>
    <w:rsid w:val="00393EAC"/>
    <w:rsid w:val="0039523D"/>
    <w:rsid w:val="00397356"/>
    <w:rsid w:val="003974EA"/>
    <w:rsid w:val="003A01AF"/>
    <w:rsid w:val="003A7E42"/>
    <w:rsid w:val="003B08D3"/>
    <w:rsid w:val="003B4530"/>
    <w:rsid w:val="003B4DB3"/>
    <w:rsid w:val="003B6188"/>
    <w:rsid w:val="003B6798"/>
    <w:rsid w:val="003B6938"/>
    <w:rsid w:val="003C0924"/>
    <w:rsid w:val="003C25D4"/>
    <w:rsid w:val="003C35C1"/>
    <w:rsid w:val="003C3A7F"/>
    <w:rsid w:val="003C5776"/>
    <w:rsid w:val="003C7A6E"/>
    <w:rsid w:val="003D4A45"/>
    <w:rsid w:val="003D7D50"/>
    <w:rsid w:val="003E2A8A"/>
    <w:rsid w:val="003E2E7E"/>
    <w:rsid w:val="003E479C"/>
    <w:rsid w:val="003E50F8"/>
    <w:rsid w:val="003E5690"/>
    <w:rsid w:val="003F05CE"/>
    <w:rsid w:val="003F1938"/>
    <w:rsid w:val="003F1B98"/>
    <w:rsid w:val="003F1ED8"/>
    <w:rsid w:val="003F286E"/>
    <w:rsid w:val="003F4F7D"/>
    <w:rsid w:val="0040091C"/>
    <w:rsid w:val="004011F0"/>
    <w:rsid w:val="004042BE"/>
    <w:rsid w:val="00405B97"/>
    <w:rsid w:val="00406796"/>
    <w:rsid w:val="00406E4C"/>
    <w:rsid w:val="00407111"/>
    <w:rsid w:val="004130C1"/>
    <w:rsid w:val="0041356B"/>
    <w:rsid w:val="0041566F"/>
    <w:rsid w:val="00415705"/>
    <w:rsid w:val="00416199"/>
    <w:rsid w:val="0041659D"/>
    <w:rsid w:val="00417BB3"/>
    <w:rsid w:val="0042015B"/>
    <w:rsid w:val="0042139E"/>
    <w:rsid w:val="004220BF"/>
    <w:rsid w:val="00422418"/>
    <w:rsid w:val="00425D62"/>
    <w:rsid w:val="004262E3"/>
    <w:rsid w:val="00430BDF"/>
    <w:rsid w:val="00431375"/>
    <w:rsid w:val="0043398C"/>
    <w:rsid w:val="004339B6"/>
    <w:rsid w:val="00434B8E"/>
    <w:rsid w:val="00435C68"/>
    <w:rsid w:val="00440C36"/>
    <w:rsid w:val="00444670"/>
    <w:rsid w:val="00444EAB"/>
    <w:rsid w:val="00445341"/>
    <w:rsid w:val="004458EA"/>
    <w:rsid w:val="00447ADE"/>
    <w:rsid w:val="00447F38"/>
    <w:rsid w:val="00455590"/>
    <w:rsid w:val="00456214"/>
    <w:rsid w:val="00456AC7"/>
    <w:rsid w:val="00456C6C"/>
    <w:rsid w:val="00457114"/>
    <w:rsid w:val="0046048F"/>
    <w:rsid w:val="004627ED"/>
    <w:rsid w:val="00462AAD"/>
    <w:rsid w:val="00464869"/>
    <w:rsid w:val="0046677D"/>
    <w:rsid w:val="00475B93"/>
    <w:rsid w:val="00480626"/>
    <w:rsid w:val="0048200B"/>
    <w:rsid w:val="00483F89"/>
    <w:rsid w:val="00486A1E"/>
    <w:rsid w:val="00487E71"/>
    <w:rsid w:val="00495005"/>
    <w:rsid w:val="0049629B"/>
    <w:rsid w:val="00497A33"/>
    <w:rsid w:val="004A0AAE"/>
    <w:rsid w:val="004A1C9E"/>
    <w:rsid w:val="004A2858"/>
    <w:rsid w:val="004A3394"/>
    <w:rsid w:val="004A567A"/>
    <w:rsid w:val="004A5758"/>
    <w:rsid w:val="004A6B26"/>
    <w:rsid w:val="004A75AC"/>
    <w:rsid w:val="004B0A47"/>
    <w:rsid w:val="004B0BB3"/>
    <w:rsid w:val="004B0E56"/>
    <w:rsid w:val="004B13FF"/>
    <w:rsid w:val="004B19A1"/>
    <w:rsid w:val="004B31A9"/>
    <w:rsid w:val="004B40BA"/>
    <w:rsid w:val="004B5B26"/>
    <w:rsid w:val="004C26D0"/>
    <w:rsid w:val="004C7201"/>
    <w:rsid w:val="004C7747"/>
    <w:rsid w:val="004D0D53"/>
    <w:rsid w:val="004D10CA"/>
    <w:rsid w:val="004D1E38"/>
    <w:rsid w:val="004D251A"/>
    <w:rsid w:val="004D3217"/>
    <w:rsid w:val="004D38BE"/>
    <w:rsid w:val="004D3B46"/>
    <w:rsid w:val="004D4995"/>
    <w:rsid w:val="004D51EA"/>
    <w:rsid w:val="004D658C"/>
    <w:rsid w:val="004D66E9"/>
    <w:rsid w:val="004D6833"/>
    <w:rsid w:val="004E25E9"/>
    <w:rsid w:val="004E2EF5"/>
    <w:rsid w:val="004E3CD2"/>
    <w:rsid w:val="004E3ED3"/>
    <w:rsid w:val="004E497C"/>
    <w:rsid w:val="004F0CDC"/>
    <w:rsid w:val="004F28B3"/>
    <w:rsid w:val="004F554B"/>
    <w:rsid w:val="004F74BC"/>
    <w:rsid w:val="0050319C"/>
    <w:rsid w:val="00504A1A"/>
    <w:rsid w:val="00511E40"/>
    <w:rsid w:val="0051316D"/>
    <w:rsid w:val="00513DA7"/>
    <w:rsid w:val="00514600"/>
    <w:rsid w:val="00514B14"/>
    <w:rsid w:val="00515699"/>
    <w:rsid w:val="00516E7D"/>
    <w:rsid w:val="00516F49"/>
    <w:rsid w:val="0052035B"/>
    <w:rsid w:val="00520B00"/>
    <w:rsid w:val="00524304"/>
    <w:rsid w:val="0052580A"/>
    <w:rsid w:val="00525CB3"/>
    <w:rsid w:val="0052601D"/>
    <w:rsid w:val="005261A2"/>
    <w:rsid w:val="00531F3B"/>
    <w:rsid w:val="00532814"/>
    <w:rsid w:val="00534EC9"/>
    <w:rsid w:val="005375BE"/>
    <w:rsid w:val="00541DB9"/>
    <w:rsid w:val="00545713"/>
    <w:rsid w:val="00547BC0"/>
    <w:rsid w:val="00550E6D"/>
    <w:rsid w:val="00551C48"/>
    <w:rsid w:val="005536AA"/>
    <w:rsid w:val="00555265"/>
    <w:rsid w:val="00555EF2"/>
    <w:rsid w:val="00557FC5"/>
    <w:rsid w:val="00560410"/>
    <w:rsid w:val="00560437"/>
    <w:rsid w:val="00560E7B"/>
    <w:rsid w:val="00561947"/>
    <w:rsid w:val="0056269E"/>
    <w:rsid w:val="00564164"/>
    <w:rsid w:val="0056433A"/>
    <w:rsid w:val="005645A2"/>
    <w:rsid w:val="00564628"/>
    <w:rsid w:val="005712D2"/>
    <w:rsid w:val="0057378E"/>
    <w:rsid w:val="00574229"/>
    <w:rsid w:val="00574916"/>
    <w:rsid w:val="00584A45"/>
    <w:rsid w:val="00585CD7"/>
    <w:rsid w:val="0059007B"/>
    <w:rsid w:val="00590D40"/>
    <w:rsid w:val="00592332"/>
    <w:rsid w:val="00594575"/>
    <w:rsid w:val="0059594C"/>
    <w:rsid w:val="005972E4"/>
    <w:rsid w:val="005A14D8"/>
    <w:rsid w:val="005A2845"/>
    <w:rsid w:val="005A70FD"/>
    <w:rsid w:val="005A7649"/>
    <w:rsid w:val="005B0846"/>
    <w:rsid w:val="005B0BE7"/>
    <w:rsid w:val="005B4740"/>
    <w:rsid w:val="005B483F"/>
    <w:rsid w:val="005B4CCD"/>
    <w:rsid w:val="005C05C7"/>
    <w:rsid w:val="005C0659"/>
    <w:rsid w:val="005C1EF8"/>
    <w:rsid w:val="005C2800"/>
    <w:rsid w:val="005C2888"/>
    <w:rsid w:val="005C2B32"/>
    <w:rsid w:val="005C3CA4"/>
    <w:rsid w:val="005C52A7"/>
    <w:rsid w:val="005C61B1"/>
    <w:rsid w:val="005D0E05"/>
    <w:rsid w:val="005D24D3"/>
    <w:rsid w:val="005D2A89"/>
    <w:rsid w:val="005D3972"/>
    <w:rsid w:val="005D502B"/>
    <w:rsid w:val="005D58DE"/>
    <w:rsid w:val="005D6432"/>
    <w:rsid w:val="005E25B0"/>
    <w:rsid w:val="005E454E"/>
    <w:rsid w:val="005E5A77"/>
    <w:rsid w:val="005E5FAF"/>
    <w:rsid w:val="005F0BF6"/>
    <w:rsid w:val="005F1217"/>
    <w:rsid w:val="005F2AC6"/>
    <w:rsid w:val="005F4CBE"/>
    <w:rsid w:val="005F5E0C"/>
    <w:rsid w:val="005F6134"/>
    <w:rsid w:val="005F65E2"/>
    <w:rsid w:val="005F6B31"/>
    <w:rsid w:val="005F76E7"/>
    <w:rsid w:val="005F7B64"/>
    <w:rsid w:val="00600F30"/>
    <w:rsid w:val="00606069"/>
    <w:rsid w:val="00606268"/>
    <w:rsid w:val="0060656E"/>
    <w:rsid w:val="00607186"/>
    <w:rsid w:val="00610175"/>
    <w:rsid w:val="0061025A"/>
    <w:rsid w:val="006114AA"/>
    <w:rsid w:val="00611770"/>
    <w:rsid w:val="00611A0D"/>
    <w:rsid w:val="006139E8"/>
    <w:rsid w:val="0061434F"/>
    <w:rsid w:val="00614F65"/>
    <w:rsid w:val="006162B8"/>
    <w:rsid w:val="00617840"/>
    <w:rsid w:val="00617A4B"/>
    <w:rsid w:val="00617C87"/>
    <w:rsid w:val="00621FA9"/>
    <w:rsid w:val="00622F29"/>
    <w:rsid w:val="00624241"/>
    <w:rsid w:val="006248D2"/>
    <w:rsid w:val="0062559B"/>
    <w:rsid w:val="006259C9"/>
    <w:rsid w:val="006266D5"/>
    <w:rsid w:val="00626DEE"/>
    <w:rsid w:val="0062761B"/>
    <w:rsid w:val="006279F7"/>
    <w:rsid w:val="00627FBE"/>
    <w:rsid w:val="0063427D"/>
    <w:rsid w:val="00640B6F"/>
    <w:rsid w:val="00640BF1"/>
    <w:rsid w:val="006411A2"/>
    <w:rsid w:val="00645879"/>
    <w:rsid w:val="0064793F"/>
    <w:rsid w:val="00647A21"/>
    <w:rsid w:val="0065218D"/>
    <w:rsid w:val="0065680B"/>
    <w:rsid w:val="00657892"/>
    <w:rsid w:val="00657E3E"/>
    <w:rsid w:val="006603A4"/>
    <w:rsid w:val="0066345D"/>
    <w:rsid w:val="00665410"/>
    <w:rsid w:val="00674217"/>
    <w:rsid w:val="006747A6"/>
    <w:rsid w:val="00676977"/>
    <w:rsid w:val="006775D1"/>
    <w:rsid w:val="0067799A"/>
    <w:rsid w:val="006807CF"/>
    <w:rsid w:val="00682923"/>
    <w:rsid w:val="006858A8"/>
    <w:rsid w:val="00686186"/>
    <w:rsid w:val="006876D6"/>
    <w:rsid w:val="00687C33"/>
    <w:rsid w:val="00690F1C"/>
    <w:rsid w:val="00694A21"/>
    <w:rsid w:val="00695E68"/>
    <w:rsid w:val="00697159"/>
    <w:rsid w:val="00697B11"/>
    <w:rsid w:val="00697EA8"/>
    <w:rsid w:val="006A1E97"/>
    <w:rsid w:val="006A204B"/>
    <w:rsid w:val="006A6860"/>
    <w:rsid w:val="006A7463"/>
    <w:rsid w:val="006A78EF"/>
    <w:rsid w:val="006B10C3"/>
    <w:rsid w:val="006B1266"/>
    <w:rsid w:val="006B3AD5"/>
    <w:rsid w:val="006B5523"/>
    <w:rsid w:val="006B6A92"/>
    <w:rsid w:val="006C018B"/>
    <w:rsid w:val="006C18DF"/>
    <w:rsid w:val="006C48EE"/>
    <w:rsid w:val="006C4A86"/>
    <w:rsid w:val="006C5911"/>
    <w:rsid w:val="006D0768"/>
    <w:rsid w:val="006D13D3"/>
    <w:rsid w:val="006D251C"/>
    <w:rsid w:val="006D2869"/>
    <w:rsid w:val="006D2E92"/>
    <w:rsid w:val="006D2F89"/>
    <w:rsid w:val="006D3BD3"/>
    <w:rsid w:val="006D3D66"/>
    <w:rsid w:val="006D6C57"/>
    <w:rsid w:val="006E036F"/>
    <w:rsid w:val="006E058D"/>
    <w:rsid w:val="006E48AD"/>
    <w:rsid w:val="006E4CF5"/>
    <w:rsid w:val="006F0732"/>
    <w:rsid w:val="006F0824"/>
    <w:rsid w:val="006F1585"/>
    <w:rsid w:val="006F2269"/>
    <w:rsid w:val="006F33C2"/>
    <w:rsid w:val="006F3410"/>
    <w:rsid w:val="006F489E"/>
    <w:rsid w:val="006F7D3E"/>
    <w:rsid w:val="00700DEF"/>
    <w:rsid w:val="007010B4"/>
    <w:rsid w:val="007013EA"/>
    <w:rsid w:val="007015B2"/>
    <w:rsid w:val="007022BB"/>
    <w:rsid w:val="0070398E"/>
    <w:rsid w:val="0070602D"/>
    <w:rsid w:val="007065B9"/>
    <w:rsid w:val="007066AD"/>
    <w:rsid w:val="00706E05"/>
    <w:rsid w:val="007106A3"/>
    <w:rsid w:val="00713CA9"/>
    <w:rsid w:val="007145F5"/>
    <w:rsid w:val="007149D3"/>
    <w:rsid w:val="00715D16"/>
    <w:rsid w:val="00715E4A"/>
    <w:rsid w:val="00716273"/>
    <w:rsid w:val="007167F5"/>
    <w:rsid w:val="00717E40"/>
    <w:rsid w:val="00721EED"/>
    <w:rsid w:val="00733794"/>
    <w:rsid w:val="007349E5"/>
    <w:rsid w:val="007357C6"/>
    <w:rsid w:val="0073628B"/>
    <w:rsid w:val="007379B3"/>
    <w:rsid w:val="0074195A"/>
    <w:rsid w:val="00743578"/>
    <w:rsid w:val="00746F82"/>
    <w:rsid w:val="00747D6D"/>
    <w:rsid w:val="00750663"/>
    <w:rsid w:val="00752531"/>
    <w:rsid w:val="0075495E"/>
    <w:rsid w:val="007559E1"/>
    <w:rsid w:val="007627C1"/>
    <w:rsid w:val="00762D77"/>
    <w:rsid w:val="0076339E"/>
    <w:rsid w:val="00763B54"/>
    <w:rsid w:val="00765B6F"/>
    <w:rsid w:val="00771218"/>
    <w:rsid w:val="007726AB"/>
    <w:rsid w:val="007748ED"/>
    <w:rsid w:val="00774DBC"/>
    <w:rsid w:val="00775F1A"/>
    <w:rsid w:val="0077738E"/>
    <w:rsid w:val="007774EA"/>
    <w:rsid w:val="007818AF"/>
    <w:rsid w:val="00783C39"/>
    <w:rsid w:val="007845F5"/>
    <w:rsid w:val="00784DFA"/>
    <w:rsid w:val="00784F73"/>
    <w:rsid w:val="00786A2D"/>
    <w:rsid w:val="00786BFF"/>
    <w:rsid w:val="00786DEF"/>
    <w:rsid w:val="00790F99"/>
    <w:rsid w:val="0079104F"/>
    <w:rsid w:val="00794591"/>
    <w:rsid w:val="00796E43"/>
    <w:rsid w:val="007A07E6"/>
    <w:rsid w:val="007A09A4"/>
    <w:rsid w:val="007A1FBA"/>
    <w:rsid w:val="007A329A"/>
    <w:rsid w:val="007B04BF"/>
    <w:rsid w:val="007B087D"/>
    <w:rsid w:val="007B1758"/>
    <w:rsid w:val="007B2110"/>
    <w:rsid w:val="007B2A39"/>
    <w:rsid w:val="007B34CC"/>
    <w:rsid w:val="007B6426"/>
    <w:rsid w:val="007C4943"/>
    <w:rsid w:val="007C4E11"/>
    <w:rsid w:val="007C5FA0"/>
    <w:rsid w:val="007C6DBB"/>
    <w:rsid w:val="007C764C"/>
    <w:rsid w:val="007D061A"/>
    <w:rsid w:val="007D20E5"/>
    <w:rsid w:val="007D4A8F"/>
    <w:rsid w:val="007D5060"/>
    <w:rsid w:val="007D5D71"/>
    <w:rsid w:val="007D6399"/>
    <w:rsid w:val="007E2322"/>
    <w:rsid w:val="007E2D04"/>
    <w:rsid w:val="007E492F"/>
    <w:rsid w:val="007E592F"/>
    <w:rsid w:val="007E657A"/>
    <w:rsid w:val="007E6C9A"/>
    <w:rsid w:val="007E6E07"/>
    <w:rsid w:val="007F1115"/>
    <w:rsid w:val="007F1BFF"/>
    <w:rsid w:val="007F1C48"/>
    <w:rsid w:val="007F246D"/>
    <w:rsid w:val="007F4A95"/>
    <w:rsid w:val="007F5943"/>
    <w:rsid w:val="007F59BB"/>
    <w:rsid w:val="00800281"/>
    <w:rsid w:val="008011D6"/>
    <w:rsid w:val="00802E04"/>
    <w:rsid w:val="008042C9"/>
    <w:rsid w:val="00804964"/>
    <w:rsid w:val="008053CE"/>
    <w:rsid w:val="00805415"/>
    <w:rsid w:val="008057D7"/>
    <w:rsid w:val="00812E3F"/>
    <w:rsid w:val="0081334D"/>
    <w:rsid w:val="00815BE4"/>
    <w:rsid w:val="00816D0D"/>
    <w:rsid w:val="0082416E"/>
    <w:rsid w:val="00830C4C"/>
    <w:rsid w:val="00831638"/>
    <w:rsid w:val="00833E3F"/>
    <w:rsid w:val="008368F7"/>
    <w:rsid w:val="00836905"/>
    <w:rsid w:val="0084609E"/>
    <w:rsid w:val="008468CC"/>
    <w:rsid w:val="008511F1"/>
    <w:rsid w:val="008514F1"/>
    <w:rsid w:val="00851E2D"/>
    <w:rsid w:val="00852732"/>
    <w:rsid w:val="00852C91"/>
    <w:rsid w:val="00854794"/>
    <w:rsid w:val="008549F2"/>
    <w:rsid w:val="008647EC"/>
    <w:rsid w:val="00864D08"/>
    <w:rsid w:val="008656F4"/>
    <w:rsid w:val="00871FCD"/>
    <w:rsid w:val="00872739"/>
    <w:rsid w:val="00872898"/>
    <w:rsid w:val="008731EF"/>
    <w:rsid w:val="0087353D"/>
    <w:rsid w:val="00874290"/>
    <w:rsid w:val="008743AA"/>
    <w:rsid w:val="0087726B"/>
    <w:rsid w:val="00882403"/>
    <w:rsid w:val="00884792"/>
    <w:rsid w:val="0088503A"/>
    <w:rsid w:val="00886EA3"/>
    <w:rsid w:val="00887718"/>
    <w:rsid w:val="008918EE"/>
    <w:rsid w:val="00891BD0"/>
    <w:rsid w:val="00891BE0"/>
    <w:rsid w:val="00893468"/>
    <w:rsid w:val="0089460A"/>
    <w:rsid w:val="0089760D"/>
    <w:rsid w:val="008A0314"/>
    <w:rsid w:val="008A2678"/>
    <w:rsid w:val="008A3275"/>
    <w:rsid w:val="008A5465"/>
    <w:rsid w:val="008B02EA"/>
    <w:rsid w:val="008B1DB0"/>
    <w:rsid w:val="008B276E"/>
    <w:rsid w:val="008B6DB5"/>
    <w:rsid w:val="008C4766"/>
    <w:rsid w:val="008D1C3D"/>
    <w:rsid w:val="008D2228"/>
    <w:rsid w:val="008D38CC"/>
    <w:rsid w:val="008D4EE5"/>
    <w:rsid w:val="008D5624"/>
    <w:rsid w:val="008D5A03"/>
    <w:rsid w:val="008D6045"/>
    <w:rsid w:val="008E1AC0"/>
    <w:rsid w:val="008E1CB4"/>
    <w:rsid w:val="008E5121"/>
    <w:rsid w:val="008E5BCC"/>
    <w:rsid w:val="008E6BCC"/>
    <w:rsid w:val="008E6CDC"/>
    <w:rsid w:val="008F1030"/>
    <w:rsid w:val="008F3209"/>
    <w:rsid w:val="008F3661"/>
    <w:rsid w:val="008F4F2D"/>
    <w:rsid w:val="008F511C"/>
    <w:rsid w:val="008F58C0"/>
    <w:rsid w:val="009015AA"/>
    <w:rsid w:val="0090179E"/>
    <w:rsid w:val="0090189B"/>
    <w:rsid w:val="00903434"/>
    <w:rsid w:val="00907F9C"/>
    <w:rsid w:val="009128F3"/>
    <w:rsid w:val="0091300B"/>
    <w:rsid w:val="009148BA"/>
    <w:rsid w:val="00916061"/>
    <w:rsid w:val="00916667"/>
    <w:rsid w:val="00916E84"/>
    <w:rsid w:val="0092050F"/>
    <w:rsid w:val="00923F75"/>
    <w:rsid w:val="009246AC"/>
    <w:rsid w:val="00924C17"/>
    <w:rsid w:val="009258B4"/>
    <w:rsid w:val="009267E0"/>
    <w:rsid w:val="00930548"/>
    <w:rsid w:val="00930686"/>
    <w:rsid w:val="00931713"/>
    <w:rsid w:val="00934DC2"/>
    <w:rsid w:val="009356CB"/>
    <w:rsid w:val="00937553"/>
    <w:rsid w:val="00940F7F"/>
    <w:rsid w:val="009475C3"/>
    <w:rsid w:val="00951FB4"/>
    <w:rsid w:val="00953C4E"/>
    <w:rsid w:val="00953EBB"/>
    <w:rsid w:val="00954C32"/>
    <w:rsid w:val="00955FAD"/>
    <w:rsid w:val="00957D0A"/>
    <w:rsid w:val="00961C82"/>
    <w:rsid w:val="00965106"/>
    <w:rsid w:val="00965346"/>
    <w:rsid w:val="0096735D"/>
    <w:rsid w:val="00971421"/>
    <w:rsid w:val="00971906"/>
    <w:rsid w:val="00973132"/>
    <w:rsid w:val="00973D2A"/>
    <w:rsid w:val="00973D5D"/>
    <w:rsid w:val="00975090"/>
    <w:rsid w:val="0097509A"/>
    <w:rsid w:val="00975CAA"/>
    <w:rsid w:val="009762AF"/>
    <w:rsid w:val="009769F0"/>
    <w:rsid w:val="00977486"/>
    <w:rsid w:val="00980B93"/>
    <w:rsid w:val="00981C95"/>
    <w:rsid w:val="00982510"/>
    <w:rsid w:val="00983C05"/>
    <w:rsid w:val="00983EA2"/>
    <w:rsid w:val="0098593E"/>
    <w:rsid w:val="00985EE3"/>
    <w:rsid w:val="0099206B"/>
    <w:rsid w:val="00993E53"/>
    <w:rsid w:val="009941BA"/>
    <w:rsid w:val="0099460E"/>
    <w:rsid w:val="00995D36"/>
    <w:rsid w:val="00996270"/>
    <w:rsid w:val="009A25A8"/>
    <w:rsid w:val="009A65BE"/>
    <w:rsid w:val="009A754A"/>
    <w:rsid w:val="009A7920"/>
    <w:rsid w:val="009B0C81"/>
    <w:rsid w:val="009B1452"/>
    <w:rsid w:val="009B1587"/>
    <w:rsid w:val="009B3B06"/>
    <w:rsid w:val="009B442E"/>
    <w:rsid w:val="009B4742"/>
    <w:rsid w:val="009C0C61"/>
    <w:rsid w:val="009C2A45"/>
    <w:rsid w:val="009C6FA8"/>
    <w:rsid w:val="009C7F31"/>
    <w:rsid w:val="009D15B4"/>
    <w:rsid w:val="009D5D64"/>
    <w:rsid w:val="009D7F82"/>
    <w:rsid w:val="009E01A6"/>
    <w:rsid w:val="009E0CEF"/>
    <w:rsid w:val="009E0E6C"/>
    <w:rsid w:val="009E0F61"/>
    <w:rsid w:val="009E26CD"/>
    <w:rsid w:val="009E2871"/>
    <w:rsid w:val="009E29F1"/>
    <w:rsid w:val="009E3C38"/>
    <w:rsid w:val="009E41CD"/>
    <w:rsid w:val="009E56C1"/>
    <w:rsid w:val="009E5DE9"/>
    <w:rsid w:val="009E6260"/>
    <w:rsid w:val="009E6EDE"/>
    <w:rsid w:val="009E7AAC"/>
    <w:rsid w:val="009F00C6"/>
    <w:rsid w:val="009F1473"/>
    <w:rsid w:val="009F1AFA"/>
    <w:rsid w:val="009F257D"/>
    <w:rsid w:val="009F38C4"/>
    <w:rsid w:val="009F4D72"/>
    <w:rsid w:val="009F4D87"/>
    <w:rsid w:val="009F5F68"/>
    <w:rsid w:val="009F756D"/>
    <w:rsid w:val="00A00993"/>
    <w:rsid w:val="00A00D2D"/>
    <w:rsid w:val="00A01182"/>
    <w:rsid w:val="00A034C7"/>
    <w:rsid w:val="00A03DB0"/>
    <w:rsid w:val="00A04C26"/>
    <w:rsid w:val="00A04D31"/>
    <w:rsid w:val="00A05B35"/>
    <w:rsid w:val="00A060B2"/>
    <w:rsid w:val="00A062C4"/>
    <w:rsid w:val="00A07400"/>
    <w:rsid w:val="00A07BCC"/>
    <w:rsid w:val="00A1042E"/>
    <w:rsid w:val="00A114DD"/>
    <w:rsid w:val="00A15BC7"/>
    <w:rsid w:val="00A166CD"/>
    <w:rsid w:val="00A1686E"/>
    <w:rsid w:val="00A20087"/>
    <w:rsid w:val="00A202ED"/>
    <w:rsid w:val="00A2407C"/>
    <w:rsid w:val="00A24DA0"/>
    <w:rsid w:val="00A25B4D"/>
    <w:rsid w:val="00A26C38"/>
    <w:rsid w:val="00A27022"/>
    <w:rsid w:val="00A30C9C"/>
    <w:rsid w:val="00A3182C"/>
    <w:rsid w:val="00A3255C"/>
    <w:rsid w:val="00A34E19"/>
    <w:rsid w:val="00A364CD"/>
    <w:rsid w:val="00A36EB7"/>
    <w:rsid w:val="00A37CFC"/>
    <w:rsid w:val="00A40150"/>
    <w:rsid w:val="00A40324"/>
    <w:rsid w:val="00A4036C"/>
    <w:rsid w:val="00A40B98"/>
    <w:rsid w:val="00A40CD1"/>
    <w:rsid w:val="00A449F3"/>
    <w:rsid w:val="00A4514E"/>
    <w:rsid w:val="00A451B7"/>
    <w:rsid w:val="00A45DA0"/>
    <w:rsid w:val="00A461F7"/>
    <w:rsid w:val="00A47524"/>
    <w:rsid w:val="00A54FD9"/>
    <w:rsid w:val="00A55F80"/>
    <w:rsid w:val="00A56FFC"/>
    <w:rsid w:val="00A57F22"/>
    <w:rsid w:val="00A60741"/>
    <w:rsid w:val="00A60CA9"/>
    <w:rsid w:val="00A60D30"/>
    <w:rsid w:val="00A66CBF"/>
    <w:rsid w:val="00A66ED3"/>
    <w:rsid w:val="00A66F71"/>
    <w:rsid w:val="00A6724E"/>
    <w:rsid w:val="00A70A08"/>
    <w:rsid w:val="00A73210"/>
    <w:rsid w:val="00A73D6B"/>
    <w:rsid w:val="00A75CB2"/>
    <w:rsid w:val="00A77A15"/>
    <w:rsid w:val="00A800EB"/>
    <w:rsid w:val="00A807A5"/>
    <w:rsid w:val="00A8253A"/>
    <w:rsid w:val="00A82B44"/>
    <w:rsid w:val="00A8302F"/>
    <w:rsid w:val="00A83AB4"/>
    <w:rsid w:val="00A8410F"/>
    <w:rsid w:val="00A85937"/>
    <w:rsid w:val="00A8599A"/>
    <w:rsid w:val="00A86041"/>
    <w:rsid w:val="00A902D1"/>
    <w:rsid w:val="00A91EE0"/>
    <w:rsid w:val="00A92326"/>
    <w:rsid w:val="00A95A3B"/>
    <w:rsid w:val="00A9642F"/>
    <w:rsid w:val="00AA02B0"/>
    <w:rsid w:val="00AA172E"/>
    <w:rsid w:val="00AA1869"/>
    <w:rsid w:val="00AA266A"/>
    <w:rsid w:val="00AA268C"/>
    <w:rsid w:val="00AA2CD7"/>
    <w:rsid w:val="00AA5637"/>
    <w:rsid w:val="00AA7604"/>
    <w:rsid w:val="00AA7ACB"/>
    <w:rsid w:val="00AB2E64"/>
    <w:rsid w:val="00AB40B8"/>
    <w:rsid w:val="00AC0286"/>
    <w:rsid w:val="00AC0B74"/>
    <w:rsid w:val="00AC2795"/>
    <w:rsid w:val="00AC33C8"/>
    <w:rsid w:val="00AC3CA1"/>
    <w:rsid w:val="00AC3FDB"/>
    <w:rsid w:val="00AC4A16"/>
    <w:rsid w:val="00AD25D2"/>
    <w:rsid w:val="00AD3369"/>
    <w:rsid w:val="00AD5623"/>
    <w:rsid w:val="00AD611E"/>
    <w:rsid w:val="00AD7FC0"/>
    <w:rsid w:val="00AE082F"/>
    <w:rsid w:val="00AE098F"/>
    <w:rsid w:val="00AE0B6F"/>
    <w:rsid w:val="00AE1121"/>
    <w:rsid w:val="00AE2404"/>
    <w:rsid w:val="00AE542B"/>
    <w:rsid w:val="00AF0C05"/>
    <w:rsid w:val="00AF0EEB"/>
    <w:rsid w:val="00AF1EA3"/>
    <w:rsid w:val="00AF2878"/>
    <w:rsid w:val="00AF288D"/>
    <w:rsid w:val="00AF5A07"/>
    <w:rsid w:val="00AF65D5"/>
    <w:rsid w:val="00B00192"/>
    <w:rsid w:val="00B00737"/>
    <w:rsid w:val="00B00F67"/>
    <w:rsid w:val="00B04445"/>
    <w:rsid w:val="00B04A00"/>
    <w:rsid w:val="00B137A9"/>
    <w:rsid w:val="00B15504"/>
    <w:rsid w:val="00B157E2"/>
    <w:rsid w:val="00B16A02"/>
    <w:rsid w:val="00B16C03"/>
    <w:rsid w:val="00B17617"/>
    <w:rsid w:val="00B176E9"/>
    <w:rsid w:val="00B2028E"/>
    <w:rsid w:val="00B22589"/>
    <w:rsid w:val="00B22E35"/>
    <w:rsid w:val="00B24E32"/>
    <w:rsid w:val="00B24F82"/>
    <w:rsid w:val="00B25CDC"/>
    <w:rsid w:val="00B278F3"/>
    <w:rsid w:val="00B3387A"/>
    <w:rsid w:val="00B34A4E"/>
    <w:rsid w:val="00B37522"/>
    <w:rsid w:val="00B46DEE"/>
    <w:rsid w:val="00B47B20"/>
    <w:rsid w:val="00B51B9B"/>
    <w:rsid w:val="00B52D63"/>
    <w:rsid w:val="00B53A44"/>
    <w:rsid w:val="00B53B8E"/>
    <w:rsid w:val="00B54567"/>
    <w:rsid w:val="00B54C07"/>
    <w:rsid w:val="00B552F9"/>
    <w:rsid w:val="00B62594"/>
    <w:rsid w:val="00B637E6"/>
    <w:rsid w:val="00B63869"/>
    <w:rsid w:val="00B6436C"/>
    <w:rsid w:val="00B64978"/>
    <w:rsid w:val="00B66DEB"/>
    <w:rsid w:val="00B701AD"/>
    <w:rsid w:val="00B70AE5"/>
    <w:rsid w:val="00B70EC1"/>
    <w:rsid w:val="00B73D18"/>
    <w:rsid w:val="00B8033E"/>
    <w:rsid w:val="00B80D27"/>
    <w:rsid w:val="00B84954"/>
    <w:rsid w:val="00B855DE"/>
    <w:rsid w:val="00B869B7"/>
    <w:rsid w:val="00B878D1"/>
    <w:rsid w:val="00B90984"/>
    <w:rsid w:val="00B90C1C"/>
    <w:rsid w:val="00B90D7D"/>
    <w:rsid w:val="00B93BB3"/>
    <w:rsid w:val="00B94E3F"/>
    <w:rsid w:val="00B951E3"/>
    <w:rsid w:val="00B962D1"/>
    <w:rsid w:val="00B970C3"/>
    <w:rsid w:val="00B97C49"/>
    <w:rsid w:val="00BA062A"/>
    <w:rsid w:val="00BA0CD3"/>
    <w:rsid w:val="00BB5035"/>
    <w:rsid w:val="00BB647A"/>
    <w:rsid w:val="00BC3CFB"/>
    <w:rsid w:val="00BC417C"/>
    <w:rsid w:val="00BC4A80"/>
    <w:rsid w:val="00BC5D32"/>
    <w:rsid w:val="00BC6D7A"/>
    <w:rsid w:val="00BC77EA"/>
    <w:rsid w:val="00BC7BC3"/>
    <w:rsid w:val="00BC7D61"/>
    <w:rsid w:val="00BC7DD9"/>
    <w:rsid w:val="00BD0589"/>
    <w:rsid w:val="00BD4008"/>
    <w:rsid w:val="00BD40FA"/>
    <w:rsid w:val="00BD4DE1"/>
    <w:rsid w:val="00BD6120"/>
    <w:rsid w:val="00BD69F2"/>
    <w:rsid w:val="00BD76B8"/>
    <w:rsid w:val="00BE0BC3"/>
    <w:rsid w:val="00BE1441"/>
    <w:rsid w:val="00BE451E"/>
    <w:rsid w:val="00BE56CA"/>
    <w:rsid w:val="00BE62F0"/>
    <w:rsid w:val="00BF0E09"/>
    <w:rsid w:val="00BF13AD"/>
    <w:rsid w:val="00BF1734"/>
    <w:rsid w:val="00BF1A8E"/>
    <w:rsid w:val="00BF2AFD"/>
    <w:rsid w:val="00BF2C41"/>
    <w:rsid w:val="00BF2FE1"/>
    <w:rsid w:val="00BF3EC8"/>
    <w:rsid w:val="00BF454A"/>
    <w:rsid w:val="00BF55AA"/>
    <w:rsid w:val="00BF5A99"/>
    <w:rsid w:val="00C00180"/>
    <w:rsid w:val="00C01876"/>
    <w:rsid w:val="00C03B62"/>
    <w:rsid w:val="00C05D7E"/>
    <w:rsid w:val="00C073F3"/>
    <w:rsid w:val="00C1147E"/>
    <w:rsid w:val="00C11760"/>
    <w:rsid w:val="00C15471"/>
    <w:rsid w:val="00C160BF"/>
    <w:rsid w:val="00C20C57"/>
    <w:rsid w:val="00C21006"/>
    <w:rsid w:val="00C21855"/>
    <w:rsid w:val="00C22ECE"/>
    <w:rsid w:val="00C231DD"/>
    <w:rsid w:val="00C2361A"/>
    <w:rsid w:val="00C31F9A"/>
    <w:rsid w:val="00C33322"/>
    <w:rsid w:val="00C33CCE"/>
    <w:rsid w:val="00C35460"/>
    <w:rsid w:val="00C3768C"/>
    <w:rsid w:val="00C41845"/>
    <w:rsid w:val="00C42D1A"/>
    <w:rsid w:val="00C43F78"/>
    <w:rsid w:val="00C46831"/>
    <w:rsid w:val="00C57C67"/>
    <w:rsid w:val="00C60F89"/>
    <w:rsid w:val="00C61F41"/>
    <w:rsid w:val="00C62112"/>
    <w:rsid w:val="00C62F6C"/>
    <w:rsid w:val="00C6363A"/>
    <w:rsid w:val="00C64426"/>
    <w:rsid w:val="00C646F5"/>
    <w:rsid w:val="00C65532"/>
    <w:rsid w:val="00C6723C"/>
    <w:rsid w:val="00C7204D"/>
    <w:rsid w:val="00C73892"/>
    <w:rsid w:val="00C744EE"/>
    <w:rsid w:val="00C74909"/>
    <w:rsid w:val="00C80DB8"/>
    <w:rsid w:val="00C80E7C"/>
    <w:rsid w:val="00C81130"/>
    <w:rsid w:val="00C8507F"/>
    <w:rsid w:val="00C904F1"/>
    <w:rsid w:val="00C94851"/>
    <w:rsid w:val="00C94E62"/>
    <w:rsid w:val="00C96031"/>
    <w:rsid w:val="00C96510"/>
    <w:rsid w:val="00CA16A1"/>
    <w:rsid w:val="00CA30D0"/>
    <w:rsid w:val="00CA36CC"/>
    <w:rsid w:val="00CA512B"/>
    <w:rsid w:val="00CA5FAA"/>
    <w:rsid w:val="00CA7852"/>
    <w:rsid w:val="00CA7B27"/>
    <w:rsid w:val="00CB1A9A"/>
    <w:rsid w:val="00CB4705"/>
    <w:rsid w:val="00CB534F"/>
    <w:rsid w:val="00CB5B0B"/>
    <w:rsid w:val="00CB6006"/>
    <w:rsid w:val="00CB760F"/>
    <w:rsid w:val="00CB7DF1"/>
    <w:rsid w:val="00CC20DB"/>
    <w:rsid w:val="00CC3968"/>
    <w:rsid w:val="00CC3F93"/>
    <w:rsid w:val="00CC4F46"/>
    <w:rsid w:val="00CC559B"/>
    <w:rsid w:val="00CC7771"/>
    <w:rsid w:val="00CD50A6"/>
    <w:rsid w:val="00CD524E"/>
    <w:rsid w:val="00CD633E"/>
    <w:rsid w:val="00CD76B4"/>
    <w:rsid w:val="00CD7F04"/>
    <w:rsid w:val="00CE0669"/>
    <w:rsid w:val="00CE22F4"/>
    <w:rsid w:val="00CE6B22"/>
    <w:rsid w:val="00CE7702"/>
    <w:rsid w:val="00CE7B49"/>
    <w:rsid w:val="00CF1579"/>
    <w:rsid w:val="00CF1C4D"/>
    <w:rsid w:val="00CF79DD"/>
    <w:rsid w:val="00CF7A98"/>
    <w:rsid w:val="00D00A23"/>
    <w:rsid w:val="00D0281E"/>
    <w:rsid w:val="00D02CCB"/>
    <w:rsid w:val="00D03842"/>
    <w:rsid w:val="00D03F1E"/>
    <w:rsid w:val="00D059A6"/>
    <w:rsid w:val="00D0678C"/>
    <w:rsid w:val="00D076C9"/>
    <w:rsid w:val="00D120A7"/>
    <w:rsid w:val="00D160D3"/>
    <w:rsid w:val="00D2100D"/>
    <w:rsid w:val="00D23733"/>
    <w:rsid w:val="00D240CD"/>
    <w:rsid w:val="00D2703F"/>
    <w:rsid w:val="00D274BF"/>
    <w:rsid w:val="00D31B02"/>
    <w:rsid w:val="00D3372E"/>
    <w:rsid w:val="00D35832"/>
    <w:rsid w:val="00D372A1"/>
    <w:rsid w:val="00D4123E"/>
    <w:rsid w:val="00D4168E"/>
    <w:rsid w:val="00D41EE8"/>
    <w:rsid w:val="00D44446"/>
    <w:rsid w:val="00D46888"/>
    <w:rsid w:val="00D50436"/>
    <w:rsid w:val="00D50A89"/>
    <w:rsid w:val="00D5450E"/>
    <w:rsid w:val="00D55194"/>
    <w:rsid w:val="00D60E39"/>
    <w:rsid w:val="00D63575"/>
    <w:rsid w:val="00D63961"/>
    <w:rsid w:val="00D63CA3"/>
    <w:rsid w:val="00D63D41"/>
    <w:rsid w:val="00D63FF9"/>
    <w:rsid w:val="00D6609B"/>
    <w:rsid w:val="00D6736E"/>
    <w:rsid w:val="00D704FB"/>
    <w:rsid w:val="00D705CA"/>
    <w:rsid w:val="00D70765"/>
    <w:rsid w:val="00D71151"/>
    <w:rsid w:val="00D726F4"/>
    <w:rsid w:val="00D730E0"/>
    <w:rsid w:val="00D73542"/>
    <w:rsid w:val="00D74016"/>
    <w:rsid w:val="00D746CD"/>
    <w:rsid w:val="00D758DB"/>
    <w:rsid w:val="00D76D08"/>
    <w:rsid w:val="00D77EBA"/>
    <w:rsid w:val="00D8105C"/>
    <w:rsid w:val="00D83462"/>
    <w:rsid w:val="00D83A83"/>
    <w:rsid w:val="00D869B9"/>
    <w:rsid w:val="00D90EBC"/>
    <w:rsid w:val="00D9260F"/>
    <w:rsid w:val="00D9306E"/>
    <w:rsid w:val="00D93FEF"/>
    <w:rsid w:val="00D94D39"/>
    <w:rsid w:val="00D9720B"/>
    <w:rsid w:val="00DA0068"/>
    <w:rsid w:val="00DA17EC"/>
    <w:rsid w:val="00DA1DEC"/>
    <w:rsid w:val="00DA23D0"/>
    <w:rsid w:val="00DA2652"/>
    <w:rsid w:val="00DA2ABE"/>
    <w:rsid w:val="00DA2C43"/>
    <w:rsid w:val="00DA3757"/>
    <w:rsid w:val="00DA6ECA"/>
    <w:rsid w:val="00DA6F44"/>
    <w:rsid w:val="00DB0FA9"/>
    <w:rsid w:val="00DB2845"/>
    <w:rsid w:val="00DB2A6E"/>
    <w:rsid w:val="00DB33F2"/>
    <w:rsid w:val="00DB4027"/>
    <w:rsid w:val="00DB54CF"/>
    <w:rsid w:val="00DB62CF"/>
    <w:rsid w:val="00DB78A5"/>
    <w:rsid w:val="00DC0454"/>
    <w:rsid w:val="00DC2E07"/>
    <w:rsid w:val="00DC4872"/>
    <w:rsid w:val="00DC50A9"/>
    <w:rsid w:val="00DD0FE0"/>
    <w:rsid w:val="00DD11F6"/>
    <w:rsid w:val="00DD34BC"/>
    <w:rsid w:val="00DD3FB6"/>
    <w:rsid w:val="00DD5EB0"/>
    <w:rsid w:val="00DE01EA"/>
    <w:rsid w:val="00DE1603"/>
    <w:rsid w:val="00DE364B"/>
    <w:rsid w:val="00DE365C"/>
    <w:rsid w:val="00DE7163"/>
    <w:rsid w:val="00DE785C"/>
    <w:rsid w:val="00DF48CA"/>
    <w:rsid w:val="00DF5648"/>
    <w:rsid w:val="00DF5A5C"/>
    <w:rsid w:val="00E00973"/>
    <w:rsid w:val="00E01821"/>
    <w:rsid w:val="00E0214A"/>
    <w:rsid w:val="00E02F34"/>
    <w:rsid w:val="00E0380C"/>
    <w:rsid w:val="00E05608"/>
    <w:rsid w:val="00E065E3"/>
    <w:rsid w:val="00E069CD"/>
    <w:rsid w:val="00E104CA"/>
    <w:rsid w:val="00E11877"/>
    <w:rsid w:val="00E11EBF"/>
    <w:rsid w:val="00E127FB"/>
    <w:rsid w:val="00E156CD"/>
    <w:rsid w:val="00E17E42"/>
    <w:rsid w:val="00E20473"/>
    <w:rsid w:val="00E20B33"/>
    <w:rsid w:val="00E21193"/>
    <w:rsid w:val="00E2291D"/>
    <w:rsid w:val="00E234EF"/>
    <w:rsid w:val="00E24346"/>
    <w:rsid w:val="00E26B90"/>
    <w:rsid w:val="00E26C51"/>
    <w:rsid w:val="00E317CA"/>
    <w:rsid w:val="00E32BD5"/>
    <w:rsid w:val="00E34F00"/>
    <w:rsid w:val="00E40CCB"/>
    <w:rsid w:val="00E418CA"/>
    <w:rsid w:val="00E41AF8"/>
    <w:rsid w:val="00E4257D"/>
    <w:rsid w:val="00E47A7D"/>
    <w:rsid w:val="00E5298D"/>
    <w:rsid w:val="00E52E99"/>
    <w:rsid w:val="00E559BD"/>
    <w:rsid w:val="00E61238"/>
    <w:rsid w:val="00E622A7"/>
    <w:rsid w:val="00E64834"/>
    <w:rsid w:val="00E67A2B"/>
    <w:rsid w:val="00E70268"/>
    <w:rsid w:val="00E72E53"/>
    <w:rsid w:val="00E7318C"/>
    <w:rsid w:val="00E73236"/>
    <w:rsid w:val="00E73DDA"/>
    <w:rsid w:val="00E7484D"/>
    <w:rsid w:val="00E77008"/>
    <w:rsid w:val="00E8036F"/>
    <w:rsid w:val="00E8279C"/>
    <w:rsid w:val="00E828D3"/>
    <w:rsid w:val="00E833B2"/>
    <w:rsid w:val="00E84047"/>
    <w:rsid w:val="00E86BCA"/>
    <w:rsid w:val="00E86C29"/>
    <w:rsid w:val="00E903FF"/>
    <w:rsid w:val="00E90826"/>
    <w:rsid w:val="00E90EAB"/>
    <w:rsid w:val="00E9362F"/>
    <w:rsid w:val="00E948D4"/>
    <w:rsid w:val="00E952D9"/>
    <w:rsid w:val="00E959AE"/>
    <w:rsid w:val="00E96E10"/>
    <w:rsid w:val="00E975BB"/>
    <w:rsid w:val="00EA5066"/>
    <w:rsid w:val="00EA63D8"/>
    <w:rsid w:val="00EA6C48"/>
    <w:rsid w:val="00EA6CC8"/>
    <w:rsid w:val="00EA72AB"/>
    <w:rsid w:val="00EB1FD3"/>
    <w:rsid w:val="00EB4F93"/>
    <w:rsid w:val="00EB730C"/>
    <w:rsid w:val="00EB74B0"/>
    <w:rsid w:val="00EC16C3"/>
    <w:rsid w:val="00EC36D8"/>
    <w:rsid w:val="00EC4AF0"/>
    <w:rsid w:val="00EC506B"/>
    <w:rsid w:val="00EC5194"/>
    <w:rsid w:val="00EC67AC"/>
    <w:rsid w:val="00ED18E5"/>
    <w:rsid w:val="00ED1E20"/>
    <w:rsid w:val="00ED46DF"/>
    <w:rsid w:val="00EE1623"/>
    <w:rsid w:val="00EE5A8F"/>
    <w:rsid w:val="00EE61F0"/>
    <w:rsid w:val="00EF0020"/>
    <w:rsid w:val="00EF3A9F"/>
    <w:rsid w:val="00EF5184"/>
    <w:rsid w:val="00EF63FC"/>
    <w:rsid w:val="00EF71E1"/>
    <w:rsid w:val="00EF79F2"/>
    <w:rsid w:val="00F00848"/>
    <w:rsid w:val="00F00C4C"/>
    <w:rsid w:val="00F01910"/>
    <w:rsid w:val="00F0267A"/>
    <w:rsid w:val="00F04473"/>
    <w:rsid w:val="00F051B9"/>
    <w:rsid w:val="00F0579D"/>
    <w:rsid w:val="00F059C0"/>
    <w:rsid w:val="00F06A48"/>
    <w:rsid w:val="00F06D04"/>
    <w:rsid w:val="00F06ED8"/>
    <w:rsid w:val="00F10AE5"/>
    <w:rsid w:val="00F10B6D"/>
    <w:rsid w:val="00F14115"/>
    <w:rsid w:val="00F1427A"/>
    <w:rsid w:val="00F14CFD"/>
    <w:rsid w:val="00F15696"/>
    <w:rsid w:val="00F17B94"/>
    <w:rsid w:val="00F205B5"/>
    <w:rsid w:val="00F21011"/>
    <w:rsid w:val="00F216A5"/>
    <w:rsid w:val="00F240C7"/>
    <w:rsid w:val="00F26045"/>
    <w:rsid w:val="00F27B65"/>
    <w:rsid w:val="00F27DE2"/>
    <w:rsid w:val="00F300B1"/>
    <w:rsid w:val="00F301EC"/>
    <w:rsid w:val="00F302F0"/>
    <w:rsid w:val="00F307B6"/>
    <w:rsid w:val="00F30875"/>
    <w:rsid w:val="00F3159F"/>
    <w:rsid w:val="00F3387F"/>
    <w:rsid w:val="00F34BCC"/>
    <w:rsid w:val="00F35215"/>
    <w:rsid w:val="00F3532D"/>
    <w:rsid w:val="00F35836"/>
    <w:rsid w:val="00F36A2B"/>
    <w:rsid w:val="00F37384"/>
    <w:rsid w:val="00F41719"/>
    <w:rsid w:val="00F417D0"/>
    <w:rsid w:val="00F41EA0"/>
    <w:rsid w:val="00F43FBF"/>
    <w:rsid w:val="00F44F93"/>
    <w:rsid w:val="00F45F10"/>
    <w:rsid w:val="00F46A4D"/>
    <w:rsid w:val="00F46C2A"/>
    <w:rsid w:val="00F46E7E"/>
    <w:rsid w:val="00F50760"/>
    <w:rsid w:val="00F50B95"/>
    <w:rsid w:val="00F51DDB"/>
    <w:rsid w:val="00F53C4D"/>
    <w:rsid w:val="00F53C91"/>
    <w:rsid w:val="00F568D3"/>
    <w:rsid w:val="00F63580"/>
    <w:rsid w:val="00F6362D"/>
    <w:rsid w:val="00F63EDE"/>
    <w:rsid w:val="00F65F05"/>
    <w:rsid w:val="00F66F04"/>
    <w:rsid w:val="00F67CC0"/>
    <w:rsid w:val="00F72958"/>
    <w:rsid w:val="00F7370B"/>
    <w:rsid w:val="00F73844"/>
    <w:rsid w:val="00F751BB"/>
    <w:rsid w:val="00F767B9"/>
    <w:rsid w:val="00F768AA"/>
    <w:rsid w:val="00F772CE"/>
    <w:rsid w:val="00F813CA"/>
    <w:rsid w:val="00F84DAD"/>
    <w:rsid w:val="00F8578D"/>
    <w:rsid w:val="00F86806"/>
    <w:rsid w:val="00F87725"/>
    <w:rsid w:val="00F918B1"/>
    <w:rsid w:val="00F92729"/>
    <w:rsid w:val="00F94FD9"/>
    <w:rsid w:val="00F950E8"/>
    <w:rsid w:val="00FA4000"/>
    <w:rsid w:val="00FB1D64"/>
    <w:rsid w:val="00FB3EAC"/>
    <w:rsid w:val="00FB6327"/>
    <w:rsid w:val="00FC1266"/>
    <w:rsid w:val="00FC695E"/>
    <w:rsid w:val="00FD0154"/>
    <w:rsid w:val="00FD1DB5"/>
    <w:rsid w:val="00FD4029"/>
    <w:rsid w:val="00FD5EB3"/>
    <w:rsid w:val="00FD6CAB"/>
    <w:rsid w:val="00FD7E6B"/>
    <w:rsid w:val="00FE461D"/>
    <w:rsid w:val="00FE6582"/>
    <w:rsid w:val="00FE73EB"/>
    <w:rsid w:val="00FE743D"/>
    <w:rsid w:val="00FF0604"/>
    <w:rsid w:val="00FF294E"/>
    <w:rsid w:val="00FF2E3E"/>
    <w:rsid w:val="00FF2E48"/>
    <w:rsid w:val="00FF4140"/>
    <w:rsid w:val="00FF51F0"/>
    <w:rsid w:val="00FF54B7"/>
    <w:rsid w:val="00FF579D"/>
    <w:rsid w:val="00FF6112"/>
    <w:rsid w:val="00FF7267"/>
    <w:rsid w:val="014D6F66"/>
    <w:rsid w:val="02426083"/>
    <w:rsid w:val="0732219D"/>
    <w:rsid w:val="083951E3"/>
    <w:rsid w:val="08F805A7"/>
    <w:rsid w:val="0BAB6C1A"/>
    <w:rsid w:val="0D18015F"/>
    <w:rsid w:val="0E8015F0"/>
    <w:rsid w:val="0F80216B"/>
    <w:rsid w:val="10524B26"/>
    <w:rsid w:val="110C00AB"/>
    <w:rsid w:val="11685F36"/>
    <w:rsid w:val="11E228D3"/>
    <w:rsid w:val="12096398"/>
    <w:rsid w:val="12FB0E24"/>
    <w:rsid w:val="132F6D22"/>
    <w:rsid w:val="14E05AD6"/>
    <w:rsid w:val="15F55B60"/>
    <w:rsid w:val="1A0F4270"/>
    <w:rsid w:val="1C3144E8"/>
    <w:rsid w:val="1EBC6FFF"/>
    <w:rsid w:val="1F5A57E2"/>
    <w:rsid w:val="21070C50"/>
    <w:rsid w:val="21375753"/>
    <w:rsid w:val="220D715D"/>
    <w:rsid w:val="24A52A74"/>
    <w:rsid w:val="25850CE5"/>
    <w:rsid w:val="26F86181"/>
    <w:rsid w:val="27E90ABF"/>
    <w:rsid w:val="297E7493"/>
    <w:rsid w:val="2A3725D5"/>
    <w:rsid w:val="2AD714E0"/>
    <w:rsid w:val="2B7B7092"/>
    <w:rsid w:val="2BFC2575"/>
    <w:rsid w:val="2CD00090"/>
    <w:rsid w:val="2E7E2CA7"/>
    <w:rsid w:val="2EC3135E"/>
    <w:rsid w:val="2F75150B"/>
    <w:rsid w:val="309F049B"/>
    <w:rsid w:val="31665E12"/>
    <w:rsid w:val="3200161D"/>
    <w:rsid w:val="33924845"/>
    <w:rsid w:val="33AE68D9"/>
    <w:rsid w:val="345E4B62"/>
    <w:rsid w:val="3595356A"/>
    <w:rsid w:val="35C54AD7"/>
    <w:rsid w:val="36E14E49"/>
    <w:rsid w:val="36F8004D"/>
    <w:rsid w:val="37FC29DB"/>
    <w:rsid w:val="396C0C3C"/>
    <w:rsid w:val="3A3E6C77"/>
    <w:rsid w:val="3ACE314E"/>
    <w:rsid w:val="3C617D07"/>
    <w:rsid w:val="3E59580C"/>
    <w:rsid w:val="3ED2205D"/>
    <w:rsid w:val="3FB3349B"/>
    <w:rsid w:val="40AC7344"/>
    <w:rsid w:val="40AE4C6A"/>
    <w:rsid w:val="40F156B7"/>
    <w:rsid w:val="44782D86"/>
    <w:rsid w:val="45E75A83"/>
    <w:rsid w:val="46152870"/>
    <w:rsid w:val="4749647C"/>
    <w:rsid w:val="47975C19"/>
    <w:rsid w:val="493D0EE1"/>
    <w:rsid w:val="4A5C451E"/>
    <w:rsid w:val="4A6649BF"/>
    <w:rsid w:val="4AD873B8"/>
    <w:rsid w:val="4B8C4305"/>
    <w:rsid w:val="4BD554F3"/>
    <w:rsid w:val="4EB250E6"/>
    <w:rsid w:val="50362F99"/>
    <w:rsid w:val="523A10B6"/>
    <w:rsid w:val="53300789"/>
    <w:rsid w:val="53AC5919"/>
    <w:rsid w:val="54012D25"/>
    <w:rsid w:val="545F186C"/>
    <w:rsid w:val="56DF3D9A"/>
    <w:rsid w:val="58C95073"/>
    <w:rsid w:val="591D0360"/>
    <w:rsid w:val="59E566C8"/>
    <w:rsid w:val="5A1457D2"/>
    <w:rsid w:val="5D0A7269"/>
    <w:rsid w:val="5F325658"/>
    <w:rsid w:val="5FBD7754"/>
    <w:rsid w:val="60FF1861"/>
    <w:rsid w:val="625978FB"/>
    <w:rsid w:val="63706F37"/>
    <w:rsid w:val="66407275"/>
    <w:rsid w:val="665E3732"/>
    <w:rsid w:val="66C86196"/>
    <w:rsid w:val="67BC1058"/>
    <w:rsid w:val="69366FBB"/>
    <w:rsid w:val="69C57EFA"/>
    <w:rsid w:val="6A1860EC"/>
    <w:rsid w:val="6AE516E2"/>
    <w:rsid w:val="6AEA5EDC"/>
    <w:rsid w:val="6E731356"/>
    <w:rsid w:val="6ED40555"/>
    <w:rsid w:val="6FB82154"/>
    <w:rsid w:val="70223303"/>
    <w:rsid w:val="709C31F1"/>
    <w:rsid w:val="71B13E30"/>
    <w:rsid w:val="72BD517F"/>
    <w:rsid w:val="73331F62"/>
    <w:rsid w:val="73B70FC2"/>
    <w:rsid w:val="7406483D"/>
    <w:rsid w:val="742835D1"/>
    <w:rsid w:val="74392938"/>
    <w:rsid w:val="74420229"/>
    <w:rsid w:val="752E7228"/>
    <w:rsid w:val="77965EE0"/>
    <w:rsid w:val="7878626E"/>
    <w:rsid w:val="79AA258F"/>
    <w:rsid w:val="7A154B23"/>
    <w:rsid w:val="7AAF1560"/>
    <w:rsid w:val="7C2D7BD9"/>
    <w:rsid w:val="7C7378DE"/>
    <w:rsid w:val="7D5A7E61"/>
    <w:rsid w:val="7E61605D"/>
    <w:rsid w:val="7EE93836"/>
    <w:rsid w:val="7F99485F"/>
    <w:rsid w:val="BFFFF9D3"/>
    <w:rsid w:val="FEDF7F1B"/>
    <w:rsid w:val="FFFE1F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4"/>
    <w:basedOn w:val="1"/>
    <w:next w:val="1"/>
    <w:qFormat/>
    <w:uiPriority w:val="0"/>
    <w:pPr>
      <w:keepNext/>
      <w:keepLines/>
      <w:numPr>
        <w:ilvl w:val="3"/>
        <w:numId w:val="1"/>
      </w:numPr>
      <w:outlineLvl w:val="3"/>
    </w:pPr>
    <w:rPr>
      <w:rFonts w:ascii="Arial" w:hAnsi="Arial"/>
      <w:b/>
      <w:bCs/>
      <w:szCs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HTML Address"/>
    <w:qFormat/>
    <w:uiPriority w:val="0"/>
    <w:pPr>
      <w:widowControl w:val="0"/>
      <w:jc w:val="both"/>
    </w:pPr>
    <w:rPr>
      <w:rFonts w:ascii="Calibri" w:hAnsi="Calibri" w:eastAsia="宋体" w:cs="Arial"/>
      <w:i/>
      <w:iCs/>
      <w:kern w:val="2"/>
      <w:sz w:val="21"/>
      <w:szCs w:val="22"/>
      <w:lang w:val="en-US" w:eastAsia="zh-CN" w:bidi="ar-SA"/>
    </w:rPr>
  </w:style>
  <w:style w:type="paragraph" w:styleId="4">
    <w:name w:val="Balloon Text"/>
    <w:basedOn w:val="1"/>
    <w:link w:val="11"/>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批注框文本 Char"/>
    <w:basedOn w:val="10"/>
    <w:link w:val="4"/>
    <w:semiHidden/>
    <w:qFormat/>
    <w:uiPriority w:val="99"/>
    <w:rPr>
      <w:rFonts w:ascii="Calibri" w:hAnsi="Calibri" w:eastAsia="宋体" w:cs="Times New Roman"/>
      <w:sz w:val="18"/>
      <w:szCs w:val="18"/>
    </w:rPr>
  </w:style>
  <w:style w:type="character" w:customStyle="1" w:styleId="12">
    <w:name w:val="页眉 Char"/>
    <w:basedOn w:val="10"/>
    <w:link w:val="6"/>
    <w:qFormat/>
    <w:uiPriority w:val="99"/>
    <w:rPr>
      <w:rFonts w:ascii="Calibri" w:hAnsi="Calibri" w:eastAsia="宋体" w:cs="Times New Roman"/>
      <w:sz w:val="18"/>
      <w:szCs w:val="18"/>
    </w:rPr>
  </w:style>
  <w:style w:type="character" w:customStyle="1" w:styleId="13">
    <w:name w:val="页脚 Char"/>
    <w:basedOn w:val="10"/>
    <w:link w:val="5"/>
    <w:qFormat/>
    <w:uiPriority w:val="99"/>
    <w:rPr>
      <w:rFonts w:ascii="Calibri" w:hAnsi="Calibri" w:eastAsia="宋体" w:cs="Times New Roman"/>
      <w:sz w:val="18"/>
      <w:szCs w:val="18"/>
    </w:rPr>
  </w:style>
  <w:style w:type="paragraph" w:customStyle="1" w:styleId="14">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1567</Words>
  <Characters>1706</Characters>
  <Lines>65</Lines>
  <Paragraphs>18</Paragraphs>
  <TotalTime>17</TotalTime>
  <ScaleCrop>false</ScaleCrop>
  <LinksUpToDate>false</LinksUpToDate>
  <CharactersWithSpaces>1714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2021-01-27T15:29:00Z</dcterms:created>
  <dc:creator>夏敬周</dc:creator>
  <cp:lastModifiedBy>我本俗人</cp:lastModifiedBy>
  <cp:lastPrinted>2021-01-29T08:22:00Z</cp:lastPrinted>
  <dcterms:modified xsi:type="dcterms:W3CDTF">2025-11-25T02:41:08Z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5149E47A8A6A43B48045A4DF865745CE</vt:lpwstr>
  </property>
  <property fmtid="{D5CDD505-2E9C-101B-9397-08002B2CF9AE}" pid="4" name="KSOTemplateDocerSaveRecord">
    <vt:lpwstr>eyJoZGlkIjoiNTc1ZWRhNjlmZWNlM2JiNTMyMTZkYzUwZThiNzQzZGUiLCJ1c2VySWQiOiI4ODg4MTc0NzkifQ==</vt:lpwstr>
  </property>
</Properties>
</file>