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A4851">
      <w:pPr>
        <w:spacing w:line="560" w:lineRule="exact"/>
        <w:jc w:val="center"/>
        <w:rPr>
          <w:rFonts w:ascii="方正小标宋简体" w:hAnsi="方正小标宋简体" w:eastAsia="方正小标宋简体" w:cs="Times New Roman"/>
          <w:b/>
          <w:bCs/>
          <w:sz w:val="36"/>
          <w:szCs w:val="36"/>
        </w:rPr>
      </w:pPr>
    </w:p>
    <w:p w14:paraId="08A3D69C">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霍山县人民检察院</w:t>
      </w:r>
      <w:r>
        <w:rPr>
          <w:rFonts w:hint="eastAsia" w:ascii="方正小标宋简体" w:hAnsi="方正小标宋简体" w:eastAsia="方正小标宋简体" w:cs="方正小标宋简体"/>
          <w:sz w:val="36"/>
          <w:szCs w:val="36"/>
        </w:rPr>
        <w:t>202</w:t>
      </w:r>
      <w:r>
        <w:rPr>
          <w:rFonts w:ascii="方正小标宋简体" w:hAnsi="方正小标宋简体" w:eastAsia="方正小标宋简体" w:cs="方正小标宋简体"/>
          <w:sz w:val="36"/>
          <w:szCs w:val="36"/>
        </w:rPr>
        <w:t>3</w:t>
      </w:r>
      <w:r>
        <w:rPr>
          <w:rFonts w:hint="eastAsia" w:ascii="方正小标宋简体" w:hAnsi="方正小标宋简体" w:eastAsia="方正小标宋简体" w:cs="方正小标宋简体"/>
          <w:sz w:val="36"/>
          <w:szCs w:val="36"/>
        </w:rPr>
        <w:t>年一般公共预算安排</w:t>
      </w:r>
    </w:p>
    <w:p w14:paraId="4B2B06E1">
      <w:pPr>
        <w:spacing w:line="560" w:lineRule="exact"/>
        <w:jc w:val="center"/>
        <w:rPr>
          <w:rFonts w:ascii="方正小标宋简体" w:hAnsi="方正小标宋简体" w:eastAsia="方正小标宋简体" w:cs="Times New Roman"/>
          <w:sz w:val="36"/>
          <w:szCs w:val="36"/>
        </w:rPr>
      </w:pPr>
      <w:r>
        <w:rPr>
          <w:rFonts w:hint="eastAsia" w:ascii="方正小标宋简体" w:hAnsi="方正小标宋简体" w:eastAsia="方正小标宋简体" w:cs="方正小标宋简体"/>
          <w:sz w:val="36"/>
          <w:szCs w:val="36"/>
        </w:rPr>
        <w:t>“三公”经费情况</w:t>
      </w:r>
    </w:p>
    <w:p w14:paraId="4A4A4C7A">
      <w:pPr>
        <w:spacing w:line="560" w:lineRule="exact"/>
        <w:rPr>
          <w:rFonts w:ascii="仿宋_GB2312" w:hAnsi="仿宋" w:eastAsia="仿宋_GB2312" w:cs="Times New Roman"/>
          <w:sz w:val="32"/>
          <w:szCs w:val="32"/>
        </w:rPr>
      </w:pPr>
    </w:p>
    <w:p w14:paraId="3F3A1855">
      <w:pPr>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霍山县人民检察院</w:t>
      </w:r>
      <w:r>
        <w:rPr>
          <w:rFonts w:hint="eastAsia" w:ascii="黑体" w:hAnsi="黑体" w:eastAsia="黑体" w:cs="黑体"/>
          <w:sz w:val="32"/>
          <w:szCs w:val="32"/>
        </w:rPr>
        <w:t>202</w:t>
      </w:r>
      <w:r>
        <w:rPr>
          <w:rFonts w:ascii="黑体" w:hAnsi="黑体" w:eastAsia="黑体" w:cs="黑体"/>
          <w:sz w:val="32"/>
          <w:szCs w:val="32"/>
        </w:rPr>
        <w:t>3</w:t>
      </w:r>
      <w:r>
        <w:rPr>
          <w:rFonts w:hint="eastAsia" w:ascii="黑体" w:hAnsi="黑体" w:eastAsia="黑体" w:cs="黑体"/>
          <w:sz w:val="32"/>
          <w:szCs w:val="32"/>
        </w:rPr>
        <w:t>年“三公”经费预算表</w:t>
      </w:r>
    </w:p>
    <w:p w14:paraId="0D315929">
      <w:pPr>
        <w:spacing w:line="560" w:lineRule="exact"/>
        <w:jc w:val="right"/>
        <w:rPr>
          <w:rFonts w:ascii="仿宋_GB2312" w:hAnsi="仿宋" w:eastAsia="仿宋_GB2312" w:cs="Times New Roman"/>
          <w:sz w:val="32"/>
          <w:szCs w:val="32"/>
        </w:rPr>
      </w:pPr>
      <w:r>
        <w:rPr>
          <w:rFonts w:hint="eastAsia" w:ascii="仿宋_GB2312" w:hAnsi="仿宋" w:eastAsia="仿宋_GB2312" w:cs="仿宋_GB2312"/>
          <w:sz w:val="32"/>
          <w:szCs w:val="32"/>
        </w:rPr>
        <w:t>单位：万元</w:t>
      </w:r>
    </w:p>
    <w:tbl>
      <w:tblPr>
        <w:tblStyle w:val="6"/>
        <w:tblW w:w="8280" w:type="dxa"/>
        <w:jc w:val="center"/>
        <w:tblLayout w:type="fixed"/>
        <w:tblCellMar>
          <w:top w:w="0" w:type="dxa"/>
          <w:left w:w="108" w:type="dxa"/>
          <w:bottom w:w="0" w:type="dxa"/>
          <w:right w:w="108" w:type="dxa"/>
        </w:tblCellMar>
      </w:tblPr>
      <w:tblGrid>
        <w:gridCol w:w="4931"/>
        <w:gridCol w:w="3349"/>
      </w:tblGrid>
      <w:tr w14:paraId="65B7F2C0">
        <w:tblPrEx>
          <w:tblCellMar>
            <w:top w:w="0" w:type="dxa"/>
            <w:left w:w="108" w:type="dxa"/>
            <w:bottom w:w="0" w:type="dxa"/>
            <w:right w:w="108" w:type="dxa"/>
          </w:tblCellMar>
        </w:tblPrEx>
        <w:trPr>
          <w:trHeight w:val="450" w:hRule="atLeast"/>
          <w:jc w:val="center"/>
        </w:trPr>
        <w:tc>
          <w:tcPr>
            <w:tcW w:w="4931" w:type="dxa"/>
            <w:tcBorders>
              <w:top w:val="single" w:color="auto" w:sz="4" w:space="0"/>
              <w:left w:val="single" w:color="auto" w:sz="4" w:space="0"/>
              <w:bottom w:val="nil"/>
              <w:right w:val="single" w:color="auto" w:sz="4" w:space="0"/>
            </w:tcBorders>
            <w:vAlign w:val="center"/>
          </w:tcPr>
          <w:p w14:paraId="0131CA2B">
            <w:pPr>
              <w:widowControl/>
              <w:jc w:val="center"/>
              <w:rPr>
                <w:rFonts w:ascii="宋体" w:cs="Times New Roman"/>
                <w:b/>
                <w:bCs/>
                <w:kern w:val="0"/>
                <w:sz w:val="28"/>
                <w:szCs w:val="28"/>
              </w:rPr>
            </w:pPr>
            <w:r>
              <w:rPr>
                <w:rFonts w:hint="eastAsia" w:ascii="宋体" w:hAnsi="宋体" w:cs="宋体"/>
                <w:b/>
                <w:bCs/>
                <w:kern w:val="0"/>
                <w:sz w:val="28"/>
                <w:szCs w:val="28"/>
              </w:rPr>
              <w:t>项目</w:t>
            </w:r>
          </w:p>
        </w:tc>
        <w:tc>
          <w:tcPr>
            <w:tcW w:w="3349" w:type="dxa"/>
            <w:tcBorders>
              <w:top w:val="single" w:color="auto" w:sz="4" w:space="0"/>
              <w:left w:val="nil"/>
              <w:bottom w:val="nil"/>
              <w:right w:val="single" w:color="auto" w:sz="4" w:space="0"/>
            </w:tcBorders>
            <w:vAlign w:val="center"/>
          </w:tcPr>
          <w:p w14:paraId="02A4F4B6">
            <w:pPr>
              <w:widowControl/>
              <w:jc w:val="center"/>
              <w:rPr>
                <w:rFonts w:ascii="宋体" w:cs="Times New Roman"/>
                <w:b/>
                <w:bCs/>
                <w:kern w:val="0"/>
                <w:sz w:val="28"/>
                <w:szCs w:val="28"/>
              </w:rPr>
            </w:pPr>
            <w:r>
              <w:rPr>
                <w:rFonts w:hint="eastAsia" w:ascii="宋体" w:hAnsi="宋体" w:cs="宋体"/>
                <w:b/>
                <w:bCs/>
                <w:kern w:val="0"/>
                <w:sz w:val="28"/>
                <w:szCs w:val="28"/>
              </w:rPr>
              <w:t>预算数</w:t>
            </w:r>
          </w:p>
        </w:tc>
      </w:tr>
      <w:tr w14:paraId="310F2A0F">
        <w:tblPrEx>
          <w:tblCellMar>
            <w:top w:w="0" w:type="dxa"/>
            <w:left w:w="108" w:type="dxa"/>
            <w:bottom w:w="0" w:type="dxa"/>
            <w:right w:w="108" w:type="dxa"/>
          </w:tblCellMar>
        </w:tblPrEx>
        <w:trPr>
          <w:trHeight w:val="450" w:hRule="atLeast"/>
          <w:jc w:val="center"/>
        </w:trPr>
        <w:tc>
          <w:tcPr>
            <w:tcW w:w="4931" w:type="dxa"/>
            <w:tcBorders>
              <w:top w:val="single" w:color="auto" w:sz="4" w:space="0"/>
              <w:left w:val="single" w:color="auto" w:sz="4" w:space="0"/>
              <w:bottom w:val="single" w:color="auto" w:sz="4" w:space="0"/>
              <w:right w:val="single" w:color="auto" w:sz="4" w:space="0"/>
            </w:tcBorders>
            <w:vAlign w:val="center"/>
          </w:tcPr>
          <w:p w14:paraId="1848D193">
            <w:pPr>
              <w:widowControl/>
              <w:jc w:val="center"/>
              <w:rPr>
                <w:rFonts w:ascii="宋体" w:cs="Times New Roman"/>
                <w:b/>
                <w:bCs/>
                <w:kern w:val="0"/>
                <w:sz w:val="28"/>
                <w:szCs w:val="28"/>
              </w:rPr>
            </w:pPr>
            <w:r>
              <w:rPr>
                <w:rFonts w:hint="eastAsia" w:ascii="宋体" w:hAnsi="宋体" w:cs="宋体"/>
                <w:b/>
                <w:bCs/>
                <w:kern w:val="0"/>
                <w:sz w:val="28"/>
                <w:szCs w:val="28"/>
              </w:rPr>
              <w:t>合计</w:t>
            </w:r>
          </w:p>
        </w:tc>
        <w:tc>
          <w:tcPr>
            <w:tcW w:w="3349" w:type="dxa"/>
            <w:tcBorders>
              <w:top w:val="single" w:color="auto" w:sz="4" w:space="0"/>
              <w:left w:val="nil"/>
              <w:bottom w:val="single" w:color="auto" w:sz="4" w:space="0"/>
              <w:right w:val="single" w:color="auto" w:sz="4" w:space="0"/>
            </w:tcBorders>
            <w:vAlign w:val="center"/>
          </w:tcPr>
          <w:p w14:paraId="6454BE6E">
            <w:pPr>
              <w:widowControl/>
              <w:jc w:val="center"/>
              <w:rPr>
                <w:rFonts w:hint="default" w:ascii="宋体" w:eastAsia="宋体" w:cs="Times New Roman"/>
                <w:kern w:val="0"/>
                <w:sz w:val="28"/>
                <w:szCs w:val="28"/>
                <w:lang w:val="en-US" w:eastAsia="zh-CN"/>
              </w:rPr>
            </w:pPr>
            <w:r>
              <w:rPr>
                <w:rFonts w:hint="eastAsia" w:ascii="宋体" w:cs="Times New Roman"/>
                <w:kern w:val="0"/>
                <w:sz w:val="28"/>
                <w:szCs w:val="28"/>
                <w:lang w:val="en-US" w:eastAsia="zh-CN"/>
              </w:rPr>
              <w:t>27.8</w:t>
            </w:r>
          </w:p>
        </w:tc>
      </w:tr>
      <w:tr w14:paraId="7B310BD1">
        <w:tblPrEx>
          <w:tblCellMar>
            <w:top w:w="0" w:type="dxa"/>
            <w:left w:w="108" w:type="dxa"/>
            <w:bottom w:w="0" w:type="dxa"/>
            <w:right w:w="108" w:type="dxa"/>
          </w:tblCellMar>
        </w:tblPrEx>
        <w:trPr>
          <w:trHeight w:val="450" w:hRule="atLeast"/>
          <w:jc w:val="center"/>
        </w:trPr>
        <w:tc>
          <w:tcPr>
            <w:tcW w:w="4931" w:type="dxa"/>
            <w:tcBorders>
              <w:top w:val="nil"/>
              <w:left w:val="single" w:color="auto" w:sz="4" w:space="0"/>
              <w:bottom w:val="single" w:color="auto" w:sz="4" w:space="0"/>
              <w:right w:val="single" w:color="auto" w:sz="4" w:space="0"/>
            </w:tcBorders>
            <w:vAlign w:val="center"/>
          </w:tcPr>
          <w:p w14:paraId="626A24EC">
            <w:pPr>
              <w:widowControl/>
              <w:rPr>
                <w:rFonts w:ascii="仿宋_GB2312" w:hAnsi="宋体" w:eastAsia="仿宋_GB2312" w:cs="Times New Roman"/>
                <w:kern w:val="0"/>
                <w:sz w:val="28"/>
                <w:szCs w:val="28"/>
              </w:rPr>
            </w:pPr>
            <w:r>
              <w:rPr>
                <w:rFonts w:hint="eastAsia" w:ascii="仿宋_GB2312" w:hAnsi="宋体" w:eastAsia="仿宋_GB2312" w:cs="仿宋_GB2312"/>
                <w:kern w:val="0"/>
                <w:sz w:val="28"/>
                <w:szCs w:val="28"/>
              </w:rPr>
              <w:t>因公出国（境）费</w:t>
            </w:r>
          </w:p>
        </w:tc>
        <w:tc>
          <w:tcPr>
            <w:tcW w:w="3349" w:type="dxa"/>
            <w:tcBorders>
              <w:top w:val="nil"/>
              <w:left w:val="nil"/>
              <w:bottom w:val="single" w:color="auto" w:sz="4" w:space="0"/>
              <w:right w:val="single" w:color="auto" w:sz="4" w:space="0"/>
            </w:tcBorders>
            <w:vAlign w:val="center"/>
          </w:tcPr>
          <w:p w14:paraId="460C68DB">
            <w:pPr>
              <w:widowControl/>
              <w:jc w:val="center"/>
              <w:rPr>
                <w:rFonts w:hint="eastAsia" w:ascii="仿宋_GB2312" w:hAnsi="宋体" w:eastAsia="仿宋_GB2312" w:cs="仿宋_GB2312"/>
                <w:kern w:val="0"/>
                <w:sz w:val="28"/>
                <w:szCs w:val="28"/>
                <w:lang w:val="en-US" w:eastAsia="zh-CN"/>
              </w:rPr>
            </w:pPr>
            <w:r>
              <w:rPr>
                <w:rFonts w:hint="eastAsia" w:ascii="仿宋_GB2312" w:hAnsi="宋体" w:eastAsia="仿宋_GB2312" w:cs="仿宋_GB2312"/>
                <w:kern w:val="0"/>
                <w:sz w:val="28"/>
                <w:szCs w:val="28"/>
                <w:lang w:val="en-US" w:eastAsia="zh-CN"/>
              </w:rPr>
              <w:t>0</w:t>
            </w:r>
          </w:p>
        </w:tc>
      </w:tr>
      <w:tr w14:paraId="76D950A4">
        <w:tblPrEx>
          <w:tblCellMar>
            <w:top w:w="0" w:type="dxa"/>
            <w:left w:w="108" w:type="dxa"/>
            <w:bottom w:w="0" w:type="dxa"/>
            <w:right w:w="108" w:type="dxa"/>
          </w:tblCellMar>
        </w:tblPrEx>
        <w:trPr>
          <w:trHeight w:val="450" w:hRule="atLeast"/>
          <w:jc w:val="center"/>
        </w:trPr>
        <w:tc>
          <w:tcPr>
            <w:tcW w:w="4931" w:type="dxa"/>
            <w:tcBorders>
              <w:top w:val="nil"/>
              <w:left w:val="single" w:color="auto" w:sz="4" w:space="0"/>
              <w:bottom w:val="single" w:color="auto" w:sz="4" w:space="0"/>
              <w:right w:val="single" w:color="auto" w:sz="4" w:space="0"/>
            </w:tcBorders>
            <w:vAlign w:val="center"/>
          </w:tcPr>
          <w:p w14:paraId="187115C4">
            <w:pPr>
              <w:widowControl/>
              <w:rPr>
                <w:rFonts w:ascii="仿宋_GB2312" w:hAnsi="宋体" w:eastAsia="仿宋_GB2312" w:cs="Times New Roman"/>
                <w:kern w:val="0"/>
                <w:sz w:val="28"/>
                <w:szCs w:val="28"/>
              </w:rPr>
            </w:pPr>
            <w:r>
              <w:rPr>
                <w:rFonts w:hint="eastAsia" w:ascii="仿宋_GB2312" w:hAnsi="宋体" w:eastAsia="仿宋_GB2312" w:cs="仿宋_GB2312"/>
                <w:kern w:val="0"/>
                <w:sz w:val="28"/>
                <w:szCs w:val="28"/>
              </w:rPr>
              <w:t>公务接待费</w:t>
            </w:r>
          </w:p>
        </w:tc>
        <w:tc>
          <w:tcPr>
            <w:tcW w:w="3349" w:type="dxa"/>
            <w:tcBorders>
              <w:top w:val="nil"/>
              <w:left w:val="nil"/>
              <w:bottom w:val="single" w:color="auto" w:sz="4" w:space="0"/>
              <w:right w:val="single" w:color="auto" w:sz="4" w:space="0"/>
            </w:tcBorders>
            <w:vAlign w:val="center"/>
          </w:tcPr>
          <w:p w14:paraId="01623B03">
            <w:pPr>
              <w:widowControl/>
              <w:jc w:val="center"/>
              <w:rPr>
                <w:rFonts w:hint="default" w:ascii="仿宋_GB2312" w:hAnsi="宋体" w:eastAsia="仿宋_GB2312" w:cs="仿宋_GB2312"/>
                <w:kern w:val="0"/>
                <w:sz w:val="28"/>
                <w:szCs w:val="28"/>
                <w:lang w:val="en-US" w:eastAsia="zh-CN"/>
              </w:rPr>
            </w:pPr>
            <w:r>
              <w:rPr>
                <w:rFonts w:hint="eastAsia" w:ascii="仿宋_GB2312" w:hAnsi="宋体" w:eastAsia="仿宋_GB2312" w:cs="仿宋_GB2312"/>
                <w:kern w:val="0"/>
                <w:sz w:val="28"/>
                <w:szCs w:val="28"/>
                <w:lang w:val="en-US" w:eastAsia="zh-CN"/>
              </w:rPr>
              <w:t>9.8</w:t>
            </w:r>
          </w:p>
        </w:tc>
      </w:tr>
      <w:tr w14:paraId="5E473F3D">
        <w:tblPrEx>
          <w:tblCellMar>
            <w:top w:w="0" w:type="dxa"/>
            <w:left w:w="108" w:type="dxa"/>
            <w:bottom w:w="0" w:type="dxa"/>
            <w:right w:w="108" w:type="dxa"/>
          </w:tblCellMar>
        </w:tblPrEx>
        <w:trPr>
          <w:trHeight w:val="450" w:hRule="atLeast"/>
          <w:jc w:val="center"/>
        </w:trPr>
        <w:tc>
          <w:tcPr>
            <w:tcW w:w="4931" w:type="dxa"/>
            <w:tcBorders>
              <w:top w:val="nil"/>
              <w:left w:val="single" w:color="auto" w:sz="4" w:space="0"/>
              <w:bottom w:val="single" w:color="auto" w:sz="4" w:space="0"/>
              <w:right w:val="single" w:color="auto" w:sz="4" w:space="0"/>
            </w:tcBorders>
            <w:vAlign w:val="center"/>
          </w:tcPr>
          <w:p w14:paraId="75809BF6">
            <w:pPr>
              <w:widowControl/>
              <w:rPr>
                <w:rFonts w:ascii="仿宋_GB2312" w:hAnsi="宋体" w:eastAsia="仿宋_GB2312" w:cs="Times New Roman"/>
                <w:kern w:val="0"/>
                <w:sz w:val="28"/>
                <w:szCs w:val="28"/>
              </w:rPr>
            </w:pPr>
            <w:r>
              <w:rPr>
                <w:rFonts w:hint="eastAsia" w:ascii="仿宋_GB2312" w:hAnsi="宋体" w:eastAsia="仿宋_GB2312" w:cs="仿宋_GB2312"/>
                <w:kern w:val="0"/>
                <w:sz w:val="28"/>
                <w:szCs w:val="28"/>
              </w:rPr>
              <w:t>公务用车购置及运行维护费</w:t>
            </w:r>
          </w:p>
        </w:tc>
        <w:tc>
          <w:tcPr>
            <w:tcW w:w="3349" w:type="dxa"/>
            <w:tcBorders>
              <w:top w:val="nil"/>
              <w:left w:val="nil"/>
              <w:bottom w:val="single" w:color="auto" w:sz="4" w:space="0"/>
              <w:right w:val="single" w:color="auto" w:sz="4" w:space="0"/>
            </w:tcBorders>
            <w:vAlign w:val="center"/>
          </w:tcPr>
          <w:p w14:paraId="7D80C6B5">
            <w:pPr>
              <w:widowControl/>
              <w:jc w:val="center"/>
              <w:rPr>
                <w:rFonts w:hint="default" w:ascii="仿宋_GB2312" w:hAnsi="宋体" w:eastAsia="仿宋_GB2312" w:cs="Times New Roman"/>
                <w:kern w:val="0"/>
                <w:sz w:val="28"/>
                <w:szCs w:val="28"/>
                <w:lang w:val="en-US" w:eastAsia="zh-CN"/>
              </w:rPr>
            </w:pPr>
            <w:r>
              <w:rPr>
                <w:rFonts w:hint="eastAsia" w:ascii="仿宋_GB2312" w:hAnsi="宋体" w:eastAsia="仿宋_GB2312" w:cs="Times New Roman"/>
                <w:kern w:val="0"/>
                <w:sz w:val="28"/>
                <w:szCs w:val="28"/>
                <w:lang w:val="en-US" w:eastAsia="zh-CN"/>
              </w:rPr>
              <w:t>18</w:t>
            </w:r>
          </w:p>
        </w:tc>
      </w:tr>
      <w:tr w14:paraId="0D624E96">
        <w:tblPrEx>
          <w:tblCellMar>
            <w:top w:w="0" w:type="dxa"/>
            <w:left w:w="108" w:type="dxa"/>
            <w:bottom w:w="0" w:type="dxa"/>
            <w:right w:w="108" w:type="dxa"/>
          </w:tblCellMar>
        </w:tblPrEx>
        <w:trPr>
          <w:trHeight w:val="450" w:hRule="atLeast"/>
          <w:jc w:val="center"/>
        </w:trPr>
        <w:tc>
          <w:tcPr>
            <w:tcW w:w="4931" w:type="dxa"/>
            <w:tcBorders>
              <w:top w:val="nil"/>
              <w:left w:val="single" w:color="auto" w:sz="4" w:space="0"/>
              <w:bottom w:val="single" w:color="auto" w:sz="4" w:space="0"/>
              <w:right w:val="single" w:color="auto" w:sz="4" w:space="0"/>
            </w:tcBorders>
            <w:vAlign w:val="center"/>
          </w:tcPr>
          <w:p w14:paraId="484F849B">
            <w:pPr>
              <w:widowControl/>
              <w:jc w:val="left"/>
              <w:rPr>
                <w:rFonts w:ascii="仿宋_GB2312" w:hAnsi="宋体" w:eastAsia="仿宋_GB2312" w:cs="Times New Roman"/>
                <w:kern w:val="0"/>
                <w:sz w:val="28"/>
                <w:szCs w:val="28"/>
              </w:rPr>
            </w:pPr>
            <w:r>
              <w:rPr>
                <w:rFonts w:hint="eastAsia" w:ascii="仿宋_GB2312" w:hAnsi="宋体" w:eastAsia="仿宋_GB2312" w:cs="仿宋_GB2312"/>
                <w:kern w:val="0"/>
                <w:sz w:val="28"/>
                <w:szCs w:val="28"/>
              </w:rPr>
              <w:t>其中：公务用车运行维护费</w:t>
            </w:r>
          </w:p>
        </w:tc>
        <w:tc>
          <w:tcPr>
            <w:tcW w:w="3349" w:type="dxa"/>
            <w:tcBorders>
              <w:top w:val="nil"/>
              <w:left w:val="nil"/>
              <w:bottom w:val="single" w:color="auto" w:sz="4" w:space="0"/>
              <w:right w:val="single" w:color="auto" w:sz="4" w:space="0"/>
            </w:tcBorders>
            <w:vAlign w:val="center"/>
          </w:tcPr>
          <w:p w14:paraId="3CC8E7BB">
            <w:pPr>
              <w:widowControl/>
              <w:jc w:val="center"/>
              <w:rPr>
                <w:rFonts w:hint="default" w:ascii="仿宋_GB2312" w:hAnsi="宋体" w:eastAsia="仿宋_GB2312" w:cs="Times New Roman"/>
                <w:kern w:val="0"/>
                <w:sz w:val="28"/>
                <w:szCs w:val="28"/>
                <w:lang w:val="en-US" w:eastAsia="zh-CN"/>
              </w:rPr>
            </w:pPr>
            <w:r>
              <w:rPr>
                <w:rFonts w:hint="eastAsia" w:ascii="仿宋_GB2312" w:hAnsi="宋体" w:eastAsia="仿宋_GB2312" w:cs="Times New Roman"/>
                <w:kern w:val="0"/>
                <w:sz w:val="28"/>
                <w:szCs w:val="28"/>
                <w:lang w:val="en-US" w:eastAsia="zh-CN"/>
              </w:rPr>
              <w:t>18</w:t>
            </w:r>
          </w:p>
        </w:tc>
      </w:tr>
      <w:tr w14:paraId="5809BC89">
        <w:tblPrEx>
          <w:tblCellMar>
            <w:top w:w="0" w:type="dxa"/>
            <w:left w:w="108" w:type="dxa"/>
            <w:bottom w:w="0" w:type="dxa"/>
            <w:right w:w="108" w:type="dxa"/>
          </w:tblCellMar>
        </w:tblPrEx>
        <w:trPr>
          <w:trHeight w:val="450" w:hRule="atLeast"/>
          <w:jc w:val="center"/>
        </w:trPr>
        <w:tc>
          <w:tcPr>
            <w:tcW w:w="4931" w:type="dxa"/>
            <w:tcBorders>
              <w:top w:val="nil"/>
              <w:left w:val="single" w:color="auto" w:sz="4" w:space="0"/>
              <w:bottom w:val="single" w:color="auto" w:sz="4" w:space="0"/>
              <w:right w:val="single" w:color="auto" w:sz="4" w:space="0"/>
            </w:tcBorders>
            <w:vAlign w:val="center"/>
          </w:tcPr>
          <w:p w14:paraId="1D63A512">
            <w:pPr>
              <w:widowControl/>
              <w:rPr>
                <w:rFonts w:ascii="仿宋_GB2312" w:hAnsi="宋体" w:eastAsia="仿宋_GB2312" w:cs="Times New Roman"/>
                <w:kern w:val="0"/>
                <w:sz w:val="28"/>
                <w:szCs w:val="28"/>
              </w:rPr>
            </w:pPr>
            <w:r>
              <w:rPr>
                <w:rFonts w:hint="eastAsia" w:ascii="仿宋_GB2312" w:hAnsi="宋体" w:eastAsia="仿宋_GB2312" w:cs="仿宋_GB2312"/>
                <w:kern w:val="0"/>
                <w:sz w:val="28"/>
                <w:szCs w:val="28"/>
              </w:rPr>
              <w:t>公务用车购置费</w:t>
            </w:r>
          </w:p>
        </w:tc>
        <w:tc>
          <w:tcPr>
            <w:tcW w:w="3349" w:type="dxa"/>
            <w:tcBorders>
              <w:top w:val="nil"/>
              <w:left w:val="nil"/>
              <w:bottom w:val="single" w:color="auto" w:sz="4" w:space="0"/>
              <w:right w:val="single" w:color="auto" w:sz="4" w:space="0"/>
            </w:tcBorders>
            <w:vAlign w:val="center"/>
          </w:tcPr>
          <w:p w14:paraId="6156766E">
            <w:pPr>
              <w:widowControl/>
              <w:jc w:val="center"/>
              <w:rPr>
                <w:rFonts w:hint="eastAsia" w:ascii="仿宋_GB2312" w:hAnsi="宋体" w:eastAsia="仿宋_GB2312" w:cs="Times New Roman"/>
                <w:kern w:val="0"/>
                <w:sz w:val="28"/>
                <w:szCs w:val="28"/>
                <w:lang w:val="en-US" w:eastAsia="zh-CN"/>
              </w:rPr>
            </w:pPr>
            <w:r>
              <w:rPr>
                <w:rFonts w:hint="eastAsia" w:ascii="仿宋_GB2312" w:hAnsi="宋体" w:eastAsia="仿宋_GB2312" w:cs="Times New Roman"/>
                <w:kern w:val="0"/>
                <w:sz w:val="28"/>
                <w:szCs w:val="28"/>
                <w:lang w:val="en-US" w:eastAsia="zh-CN"/>
              </w:rPr>
              <w:t>0</w:t>
            </w:r>
          </w:p>
        </w:tc>
      </w:tr>
    </w:tbl>
    <w:p w14:paraId="08C7A32A">
      <w:pPr>
        <w:ind w:firstLine="640" w:firstLineChars="200"/>
        <w:rPr>
          <w:rFonts w:ascii="黑体" w:hAnsi="黑体" w:eastAsia="黑体" w:cs="Times New Roman"/>
          <w:sz w:val="32"/>
          <w:szCs w:val="32"/>
        </w:rPr>
      </w:pPr>
    </w:p>
    <w:p w14:paraId="0867ADB5">
      <w:pPr>
        <w:ind w:firstLine="640" w:firstLineChars="200"/>
        <w:rPr>
          <w:rFonts w:ascii="黑体" w:hAnsi="黑体" w:eastAsia="黑体" w:cs="Times New Roman"/>
          <w:sz w:val="32"/>
          <w:szCs w:val="32"/>
        </w:rPr>
      </w:pPr>
      <w:r>
        <w:rPr>
          <w:rFonts w:hint="eastAsia" w:ascii="黑体" w:hAnsi="黑体" w:eastAsia="黑体" w:cs="黑体"/>
          <w:sz w:val="32"/>
          <w:szCs w:val="32"/>
        </w:rPr>
        <w:t>二、2023年</w:t>
      </w:r>
      <w:r>
        <w:rPr>
          <w:rFonts w:hint="eastAsia" w:ascii="黑体" w:hAnsi="黑体" w:eastAsia="黑体" w:cs="黑体"/>
          <w:sz w:val="32"/>
          <w:szCs w:val="32"/>
          <w:lang w:eastAsia="zh-CN"/>
        </w:rPr>
        <w:t>霍山县人民检察院</w:t>
      </w:r>
      <w:r>
        <w:rPr>
          <w:rFonts w:hint="eastAsia" w:ascii="黑体" w:hAnsi="黑体" w:eastAsia="黑体" w:cs="黑体"/>
          <w:sz w:val="32"/>
          <w:szCs w:val="32"/>
        </w:rPr>
        <w:t>“三公”经费支出预算情况说明</w:t>
      </w:r>
    </w:p>
    <w:p w14:paraId="6324912E">
      <w:pPr>
        <w:spacing w:line="600" w:lineRule="exact"/>
        <w:ind w:firstLine="640" w:firstLineChars="200"/>
        <w:rPr>
          <w:rFonts w:hint="eastAsia"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w:t>
      </w: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一般公共预算财政拨款</w:t>
      </w:r>
      <w:r>
        <w:rPr>
          <w:rFonts w:ascii="Times New Roman" w:hAnsi="Times New Roman" w:eastAsia="仿宋_GB2312"/>
          <w:color w:val="000000" w:themeColor="text1"/>
          <w:sz w:val="32"/>
          <w:szCs w:val="32"/>
        </w:rPr>
        <w:t>“三公”经费支出预算</w:t>
      </w:r>
      <w:r>
        <w:rPr>
          <w:rFonts w:hint="eastAsia" w:ascii="Times New Roman" w:hAnsi="Times New Roman" w:eastAsia="仿宋_GB2312"/>
          <w:color w:val="000000" w:themeColor="text1"/>
          <w:sz w:val="32"/>
          <w:szCs w:val="32"/>
          <w:lang w:val="en-US" w:eastAsia="zh-CN"/>
        </w:rPr>
        <w:t>27</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预算减少</w:t>
      </w:r>
      <w:r>
        <w:rPr>
          <w:rFonts w:hint="eastAsia" w:ascii="Times New Roman" w:hAnsi="Times New Roman" w:eastAsia="仿宋_GB2312"/>
          <w:color w:val="000000" w:themeColor="text1"/>
          <w:sz w:val="32"/>
          <w:szCs w:val="32"/>
          <w:lang w:val="en-US" w:eastAsia="zh-CN"/>
        </w:rPr>
        <w:t>19</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40</w:t>
      </w:r>
      <w:r>
        <w:rPr>
          <w:rFonts w:ascii="Times New Roman" w:hAnsi="Times New Roman" w:eastAsia="仿宋_GB2312"/>
          <w:color w:val="000000" w:themeColor="text1"/>
          <w:sz w:val="32"/>
          <w:szCs w:val="32"/>
        </w:rPr>
        <w:t>万元，下降</w:t>
      </w:r>
      <w:r>
        <w:rPr>
          <w:rFonts w:hint="eastAsia" w:ascii="Times New Roman" w:hAnsi="Times New Roman" w:eastAsia="仿宋_GB2312"/>
          <w:color w:val="000000" w:themeColor="text1"/>
          <w:sz w:val="32"/>
          <w:szCs w:val="32"/>
          <w:lang w:val="en-US" w:eastAsia="zh-CN"/>
        </w:rPr>
        <w:t>41</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10</w:t>
      </w:r>
      <w:r>
        <w:rPr>
          <w:rFonts w:ascii="Times New Roman" w:hAnsi="Times New Roman" w:eastAsia="仿宋_GB2312"/>
          <w:color w:val="000000" w:themeColor="text1"/>
          <w:sz w:val="32"/>
          <w:szCs w:val="32"/>
        </w:rPr>
        <w:t>%。其中因公出国（境）费</w:t>
      </w:r>
      <w:r>
        <w:rPr>
          <w:rFonts w:hint="eastAsia" w:ascii="Times New Roman" w:hAnsi="Times New Roman" w:eastAsia="仿宋_GB2312"/>
          <w:color w:val="000000" w:themeColor="text1"/>
          <w:sz w:val="32"/>
          <w:szCs w:val="32"/>
          <w:lang w:val="en-US" w:eastAsia="zh-CN"/>
        </w:rPr>
        <w:t>0</w:t>
      </w:r>
      <w:r>
        <w:rPr>
          <w:rFonts w:ascii="Times New Roman" w:hAnsi="Times New Roman" w:eastAsia="仿宋_GB2312"/>
          <w:color w:val="000000" w:themeColor="text1"/>
          <w:sz w:val="32"/>
          <w:szCs w:val="32"/>
        </w:rPr>
        <w:t>万元，公务接待费</w:t>
      </w:r>
      <w:r>
        <w:rPr>
          <w:rFonts w:hint="eastAsia" w:ascii="Times New Roman" w:hAnsi="Times New Roman" w:eastAsia="仿宋_GB2312"/>
          <w:color w:val="000000" w:themeColor="text1"/>
          <w:sz w:val="32"/>
          <w:szCs w:val="32"/>
          <w:lang w:val="en-US" w:eastAsia="zh-CN"/>
        </w:rPr>
        <w:t>9</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80</w:t>
      </w:r>
      <w:r>
        <w:rPr>
          <w:rFonts w:ascii="Times New Roman" w:hAnsi="Times New Roman" w:eastAsia="仿宋_GB2312"/>
          <w:color w:val="000000" w:themeColor="text1"/>
          <w:sz w:val="32"/>
          <w:szCs w:val="32"/>
        </w:rPr>
        <w:t>万元，公务用车购置及运行费</w:t>
      </w:r>
      <w:r>
        <w:rPr>
          <w:rFonts w:hint="eastAsia" w:ascii="Times New Roman" w:hAnsi="Times New Roman" w:eastAsia="仿宋_GB2312"/>
          <w:color w:val="000000" w:themeColor="text1"/>
          <w:sz w:val="32"/>
          <w:szCs w:val="32"/>
          <w:lang w:val="en-US" w:eastAsia="zh-CN"/>
        </w:rPr>
        <w:t>18.00</w:t>
      </w:r>
      <w:r>
        <w:rPr>
          <w:rFonts w:ascii="Times New Roman" w:hAnsi="Times New Roman" w:eastAsia="仿宋_GB2312"/>
          <w:color w:val="000000" w:themeColor="text1"/>
          <w:sz w:val="32"/>
          <w:szCs w:val="32"/>
        </w:rPr>
        <w:t>万元。具体情况如下：</w:t>
      </w:r>
    </w:p>
    <w:p w14:paraId="437D86CC">
      <w:pPr>
        <w:spacing w:line="60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（一）因公出国（境）费。</w:t>
      </w:r>
      <w:r>
        <w:rPr>
          <w:rFonts w:ascii="Times New Roman" w:hAnsi="Times New Roman" w:eastAsia="仿宋_GB2312"/>
          <w:color w:val="000000" w:themeColor="text1"/>
          <w:sz w:val="32"/>
          <w:szCs w:val="32"/>
        </w:rPr>
        <w:t>支出预算</w:t>
      </w:r>
      <w:r>
        <w:rPr>
          <w:rFonts w:hint="eastAsia" w:ascii="Times New Roman" w:hAnsi="Times New Roman" w:eastAsia="仿宋_GB2312"/>
          <w:color w:val="000000" w:themeColor="text1"/>
          <w:sz w:val="32"/>
          <w:szCs w:val="32"/>
        </w:rPr>
        <w:t>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较上年预算持平，主要原因是</w:t>
      </w:r>
      <w:r>
        <w:rPr>
          <w:rFonts w:hint="eastAsia" w:ascii="Times New Roman" w:hAnsi="Times New Roman" w:eastAsia="仿宋_GB2312"/>
          <w:color w:val="000000" w:themeColor="text1"/>
          <w:sz w:val="32"/>
          <w:szCs w:val="32"/>
          <w:lang w:eastAsia="zh-CN"/>
        </w:rPr>
        <w:t>上年和本年均未安排预算，</w:t>
      </w:r>
      <w:r>
        <w:rPr>
          <w:rFonts w:hint="eastAsia" w:ascii="Times New Roman" w:hAnsi="Times New Roman" w:eastAsia="仿宋_GB2312"/>
          <w:color w:val="000000" w:themeColor="text1"/>
          <w:sz w:val="32"/>
          <w:szCs w:val="32"/>
        </w:rPr>
        <w:t>经费使用贯彻落实中央八项规定和县委县政府20条要求。</w:t>
      </w:r>
    </w:p>
    <w:p w14:paraId="6006B810">
      <w:pPr>
        <w:spacing w:line="560" w:lineRule="exact"/>
        <w:ind w:firstLine="643" w:firstLineChars="200"/>
        <w:rPr>
          <w:rFonts w:ascii="Times New Roman" w:hAnsi="Times New Roman" w:eastAsia="仿宋_GB2312"/>
          <w:b/>
          <w:color w:val="000000" w:themeColor="text1"/>
          <w:sz w:val="32"/>
          <w:szCs w:val="32"/>
        </w:rPr>
      </w:pPr>
      <w:r>
        <w:rPr>
          <w:rFonts w:ascii="Times New Roman" w:hAnsi="Times New Roman" w:eastAsia="仿宋_GB2312"/>
          <w:b/>
          <w:color w:val="000000" w:themeColor="text1"/>
          <w:sz w:val="32"/>
          <w:szCs w:val="32"/>
        </w:rPr>
        <w:t>（二）公务接待费。</w:t>
      </w:r>
      <w:r>
        <w:rPr>
          <w:rFonts w:ascii="Times New Roman" w:hAnsi="Times New Roman" w:eastAsia="仿宋_GB2312"/>
          <w:color w:val="000000" w:themeColor="text1"/>
          <w:sz w:val="32"/>
          <w:szCs w:val="32"/>
        </w:rPr>
        <w:t>支出预算</w:t>
      </w:r>
      <w:r>
        <w:rPr>
          <w:rFonts w:hint="eastAsia" w:ascii="Times New Roman" w:hAnsi="Times New Roman" w:eastAsia="仿宋_GB2312"/>
          <w:color w:val="000000" w:themeColor="text1"/>
          <w:sz w:val="32"/>
          <w:szCs w:val="32"/>
          <w:lang w:val="en-US" w:eastAsia="zh-CN"/>
        </w:rPr>
        <w:t>9</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eastAsia="zh-CN"/>
        </w:rPr>
        <w:t>增加</w:t>
      </w:r>
      <w:r>
        <w:rPr>
          <w:rFonts w:ascii="Times New Roman" w:hAnsi="Times New Roman" w:eastAsia="仿宋_GB2312"/>
          <w:color w:val="000000" w:themeColor="text1"/>
          <w:sz w:val="32"/>
          <w:szCs w:val="32"/>
        </w:rPr>
        <w:t xml:space="preserve"> </w:t>
      </w:r>
      <w:r>
        <w:rPr>
          <w:rFonts w:hint="eastAsia" w:ascii="Times New Roman" w:hAnsi="Times New Roman" w:eastAsia="仿宋_GB2312"/>
          <w:color w:val="000000" w:themeColor="text1"/>
          <w:sz w:val="32"/>
          <w:szCs w:val="32"/>
          <w:lang w:val="en-US" w:eastAsia="zh-CN"/>
        </w:rPr>
        <w:t>5</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60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lang w:val="en-US" w:eastAsia="zh-CN"/>
        </w:rPr>
        <w:t>增长133</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33</w:t>
      </w:r>
      <w:r>
        <w:rPr>
          <w:rFonts w:ascii="Times New Roman" w:hAnsi="Times New Roman" w:eastAsia="仿宋_GB2312"/>
          <w:color w:val="000000" w:themeColor="text1"/>
          <w:sz w:val="32"/>
          <w:szCs w:val="32"/>
        </w:rPr>
        <w:t>%，主要原因</w:t>
      </w:r>
      <w:r>
        <w:rPr>
          <w:rFonts w:hint="eastAsia" w:ascii="Times New Roman" w:hAnsi="Times New Roman" w:eastAsia="仿宋_GB2312"/>
          <w:color w:val="000000" w:themeColor="text1"/>
          <w:sz w:val="32"/>
          <w:szCs w:val="32"/>
          <w:lang w:eastAsia="zh-CN"/>
        </w:rPr>
        <w:t>是上</w:t>
      </w:r>
      <w:r>
        <w:rPr>
          <w:rFonts w:hint="eastAsia" w:ascii="Times New Roman" w:hAnsi="Times New Roman" w:eastAsia="仿宋_GB2312"/>
          <w:color w:val="000000" w:themeColor="text1"/>
          <w:sz w:val="32"/>
          <w:szCs w:val="32"/>
          <w:lang w:val="en-US" w:eastAsia="zh-CN"/>
        </w:rPr>
        <w:t>年为财政拨款口径，本年为全口径</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经费使用贯彻落实中央八项规定和严格执行县直机关公务接待费管理办法规定。</w:t>
      </w:r>
    </w:p>
    <w:p w14:paraId="620CCD4C">
      <w:pPr>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（三）公务用车购置及运行费。</w:t>
      </w:r>
      <w:r>
        <w:rPr>
          <w:rFonts w:ascii="Times New Roman" w:hAnsi="Times New Roman" w:eastAsia="仿宋_GB2312"/>
          <w:color w:val="000000" w:themeColor="text1"/>
          <w:sz w:val="32"/>
          <w:szCs w:val="32"/>
        </w:rPr>
        <w:t>支出预算</w:t>
      </w:r>
      <w:r>
        <w:rPr>
          <w:rFonts w:hint="eastAsia" w:ascii="Times New Roman" w:hAnsi="Times New Roman" w:eastAsia="仿宋_GB2312"/>
          <w:color w:val="000000" w:themeColor="text1"/>
          <w:sz w:val="32"/>
          <w:szCs w:val="32"/>
          <w:lang w:val="en-US" w:eastAsia="zh-CN"/>
        </w:rPr>
        <w:t>18</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00</w:t>
      </w:r>
      <w:r>
        <w:rPr>
          <w:rFonts w:ascii="Times New Roman" w:hAnsi="Times New Roman" w:eastAsia="仿宋_GB2312"/>
          <w:color w:val="000000" w:themeColor="text1"/>
          <w:sz w:val="32"/>
          <w:szCs w:val="32"/>
        </w:rPr>
        <w:t>万元，与</w:t>
      </w:r>
      <w:r>
        <w:rPr>
          <w:rFonts w:hint="eastAsia" w:ascii="Times New Roman" w:hAnsi="Times New Roman" w:eastAsia="仿宋_GB2312"/>
          <w:color w:val="000000" w:themeColor="text1"/>
          <w:sz w:val="32"/>
          <w:szCs w:val="32"/>
        </w:rPr>
        <w:t>2022年</w:t>
      </w:r>
      <w:r>
        <w:rPr>
          <w:rFonts w:ascii="Times New Roman" w:hAnsi="Times New Roman" w:eastAsia="仿宋_GB2312"/>
          <w:color w:val="000000" w:themeColor="text1"/>
          <w:sz w:val="32"/>
          <w:szCs w:val="32"/>
        </w:rPr>
        <w:t>相比</w:t>
      </w:r>
      <w:r>
        <w:rPr>
          <w:rFonts w:hint="eastAsia" w:ascii="Times New Roman" w:hAnsi="Times New Roman" w:eastAsia="仿宋_GB2312"/>
          <w:color w:val="000000" w:themeColor="text1"/>
          <w:sz w:val="32"/>
          <w:szCs w:val="32"/>
          <w:lang w:eastAsia="zh-CN"/>
        </w:rPr>
        <w:t>，</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预算减少</w:t>
      </w:r>
      <w:r>
        <w:rPr>
          <w:rFonts w:hint="eastAsia" w:ascii="Times New Roman" w:hAnsi="Times New Roman" w:eastAsia="仿宋_GB2312"/>
          <w:color w:val="000000" w:themeColor="text1"/>
          <w:sz w:val="32"/>
          <w:szCs w:val="32"/>
          <w:lang w:val="en-US" w:eastAsia="zh-CN"/>
        </w:rPr>
        <w:t>25万元</w:t>
      </w:r>
      <w:r>
        <w:rPr>
          <w:rFonts w:ascii="Times New Roman" w:hAnsi="Times New Roman" w:eastAsia="仿宋_GB2312"/>
          <w:color w:val="000000" w:themeColor="text1"/>
          <w:sz w:val="32"/>
          <w:szCs w:val="32"/>
        </w:rPr>
        <w:t>，下降</w:t>
      </w:r>
      <w:r>
        <w:rPr>
          <w:rFonts w:hint="eastAsia" w:ascii="Times New Roman" w:hAnsi="Times New Roman" w:eastAsia="仿宋_GB2312"/>
          <w:color w:val="000000" w:themeColor="text1"/>
          <w:sz w:val="32"/>
          <w:szCs w:val="32"/>
          <w:lang w:val="en-US" w:eastAsia="zh-CN"/>
        </w:rPr>
        <w:t>58</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14</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，经费使用贯彻落实</w:t>
      </w:r>
      <w:bookmarkStart w:id="0" w:name="_GoBack"/>
      <w:bookmarkEnd w:id="0"/>
      <w:r>
        <w:rPr>
          <w:rFonts w:hint="eastAsia" w:ascii="Times New Roman" w:hAnsi="Times New Roman" w:eastAsia="仿宋_GB2312"/>
          <w:color w:val="000000" w:themeColor="text1"/>
          <w:sz w:val="32"/>
          <w:szCs w:val="32"/>
        </w:rPr>
        <w:t>中央八项规定和县委县政府20条要求。</w:t>
      </w:r>
      <w:r>
        <w:rPr>
          <w:rFonts w:ascii="Times New Roman" w:hAnsi="Times New Roman" w:eastAsia="仿宋_GB2312"/>
          <w:color w:val="000000" w:themeColor="text1"/>
          <w:sz w:val="32"/>
          <w:szCs w:val="32"/>
        </w:rPr>
        <w:t>其中：公务用车运行费</w:t>
      </w:r>
      <w:r>
        <w:rPr>
          <w:rFonts w:hint="eastAsia" w:ascii="Times New Roman" w:hAnsi="Times New Roman" w:eastAsia="仿宋_GB2312"/>
          <w:color w:val="000000" w:themeColor="text1"/>
          <w:sz w:val="32"/>
          <w:szCs w:val="32"/>
          <w:lang w:val="en-US" w:eastAsia="zh-CN"/>
        </w:rPr>
        <w:t>18</w:t>
      </w:r>
      <w:r>
        <w:rPr>
          <w:rFonts w:ascii="Times New Roman" w:hAnsi="Times New Roman" w:eastAsia="仿宋_GB2312"/>
          <w:color w:val="000000" w:themeColor="text1"/>
          <w:sz w:val="32"/>
          <w:szCs w:val="32"/>
        </w:rPr>
        <w:t>万元，与</w:t>
      </w:r>
      <w:r>
        <w:rPr>
          <w:rFonts w:hint="eastAsia" w:ascii="Times New Roman" w:hAnsi="Times New Roman" w:eastAsia="仿宋_GB2312"/>
          <w:color w:val="000000" w:themeColor="text1"/>
          <w:sz w:val="32"/>
          <w:szCs w:val="32"/>
        </w:rPr>
        <w:t>2022年</w:t>
      </w:r>
      <w:r>
        <w:rPr>
          <w:rFonts w:ascii="Times New Roman" w:hAnsi="Times New Roman" w:eastAsia="仿宋_GB2312"/>
          <w:color w:val="000000" w:themeColor="text1"/>
          <w:sz w:val="32"/>
          <w:szCs w:val="32"/>
        </w:rPr>
        <w:t>相比持平</w:t>
      </w:r>
      <w:r>
        <w:rPr>
          <w:rFonts w:hint="eastAsia" w:ascii="Times New Roman" w:hAnsi="Times New Roman" w:eastAsia="仿宋_GB2312"/>
          <w:color w:val="000000" w:themeColor="text1"/>
          <w:sz w:val="32"/>
          <w:szCs w:val="32"/>
          <w:lang w:eastAsia="zh-CN"/>
        </w:rPr>
        <w:t>，</w:t>
      </w:r>
      <w:r>
        <w:rPr>
          <w:rFonts w:ascii="Times New Roman" w:hAnsi="Times New Roman" w:eastAsia="仿宋_GB2312"/>
          <w:color w:val="000000" w:themeColor="text1"/>
          <w:sz w:val="32"/>
          <w:szCs w:val="32"/>
        </w:rPr>
        <w:t>主要原因是</w:t>
      </w:r>
      <w:r>
        <w:rPr>
          <w:rFonts w:hint="eastAsia" w:ascii="Times New Roman" w:hAnsi="Times New Roman" w:eastAsia="仿宋_GB2312"/>
          <w:color w:val="000000" w:themeColor="text1"/>
          <w:sz w:val="32"/>
          <w:szCs w:val="32"/>
          <w:lang w:eastAsia="zh-CN"/>
        </w:rPr>
        <w:t>车辆数与上年持平</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主要用</w:t>
      </w:r>
      <w:r>
        <w:rPr>
          <w:rFonts w:hint="eastAsia" w:ascii="Times New Roman" w:hAnsi="Times New Roman" w:eastAsia="仿宋_GB2312"/>
          <w:color w:val="000000" w:themeColor="text1"/>
          <w:sz w:val="32"/>
          <w:szCs w:val="32"/>
          <w:lang w:eastAsia="zh-CN"/>
        </w:rPr>
        <w:t>于日常公务用车和外出办案</w:t>
      </w:r>
      <w:r>
        <w:rPr>
          <w:rFonts w:ascii="Times New Roman" w:hAnsi="Times New Roman" w:eastAsia="仿宋_GB2312"/>
          <w:color w:val="000000" w:themeColor="text1"/>
          <w:sz w:val="32"/>
          <w:szCs w:val="32"/>
        </w:rPr>
        <w:t>。公务用车购置费</w:t>
      </w:r>
      <w:r>
        <w:rPr>
          <w:rFonts w:hint="eastAsia" w:ascii="Times New Roman" w:hAnsi="Times New Roman" w:eastAsia="仿宋_GB2312"/>
          <w:color w:val="000000" w:themeColor="text1"/>
          <w:sz w:val="32"/>
          <w:szCs w:val="32"/>
          <w:lang w:val="en-US" w:eastAsia="zh-CN"/>
        </w:rPr>
        <w:t>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预算减少</w:t>
      </w:r>
      <w:r>
        <w:rPr>
          <w:rFonts w:hint="eastAsia" w:ascii="Times New Roman" w:hAnsi="Times New Roman" w:eastAsia="仿宋_GB2312"/>
          <w:color w:val="000000" w:themeColor="text1"/>
          <w:sz w:val="32"/>
          <w:szCs w:val="32"/>
          <w:lang w:val="en-US" w:eastAsia="zh-CN"/>
        </w:rPr>
        <w:t>25</w:t>
      </w:r>
      <w:r>
        <w:rPr>
          <w:rFonts w:ascii="Times New Roman" w:hAnsi="Times New Roman" w:eastAsia="仿宋_GB2312"/>
          <w:color w:val="000000" w:themeColor="text1"/>
          <w:sz w:val="32"/>
          <w:szCs w:val="32"/>
        </w:rPr>
        <w:t>万元，下降</w:t>
      </w:r>
      <w:r>
        <w:rPr>
          <w:rFonts w:hint="eastAsia" w:ascii="Times New Roman" w:hAnsi="Times New Roman" w:eastAsia="仿宋_GB2312"/>
          <w:color w:val="000000" w:themeColor="text1"/>
          <w:sz w:val="32"/>
          <w:szCs w:val="32"/>
          <w:lang w:val="en-US" w:eastAsia="zh-CN"/>
        </w:rPr>
        <w:t>100</w:t>
      </w:r>
      <w:r>
        <w:rPr>
          <w:rFonts w:ascii="Times New Roman" w:hAnsi="Times New Roman" w:eastAsia="仿宋_GB2312"/>
          <w:color w:val="000000" w:themeColor="text1"/>
          <w:sz w:val="32"/>
          <w:szCs w:val="32"/>
        </w:rPr>
        <w:t>%，主要原因</w:t>
      </w:r>
      <w:r>
        <w:rPr>
          <w:rFonts w:hint="eastAsia" w:ascii="Times New Roman" w:hAnsi="Times New Roman" w:eastAsia="仿宋_GB2312"/>
          <w:color w:val="000000" w:themeColor="text1"/>
          <w:sz w:val="32"/>
          <w:szCs w:val="32"/>
          <w:lang w:eastAsia="zh-CN"/>
        </w:rPr>
        <w:t>是本</w:t>
      </w:r>
      <w:r>
        <w:rPr>
          <w:rFonts w:hint="eastAsia" w:ascii="Times New Roman" w:hAnsi="Times New Roman" w:eastAsia="仿宋_GB2312"/>
          <w:color w:val="000000" w:themeColor="text1"/>
          <w:sz w:val="32"/>
          <w:szCs w:val="32"/>
          <w:lang w:val="en-US" w:eastAsia="zh-CN"/>
        </w:rPr>
        <w:t>年未安排购车预算</w:t>
      </w:r>
      <w:r>
        <w:rPr>
          <w:rFonts w:hint="eastAsia" w:ascii="Times New Roman" w:hAnsi="Times New Roman" w:eastAsia="仿宋_GB2312"/>
          <w:color w:val="000000" w:themeColor="text1"/>
          <w:sz w:val="32"/>
          <w:szCs w:val="32"/>
        </w:rPr>
        <w:t>。</w:t>
      </w:r>
    </w:p>
    <w:p w14:paraId="18371E45">
      <w:pPr>
        <w:spacing w:line="560" w:lineRule="exact"/>
        <w:ind w:firstLine="643" w:firstLineChars="200"/>
        <w:rPr>
          <w:rFonts w:ascii="Times New Roman" w:hAnsi="Times New Roman" w:eastAsia="仿宋_GB2312"/>
          <w:b/>
          <w:color w:val="000000" w:themeColor="text1"/>
          <w:sz w:val="32"/>
          <w:szCs w:val="32"/>
        </w:rPr>
      </w:pPr>
    </w:p>
    <w:p w14:paraId="300E60E5">
      <w:pPr>
        <w:spacing w:line="580" w:lineRule="exact"/>
        <w:ind w:firstLine="420" w:firstLineChars="200"/>
        <w:rPr>
          <w:rFonts w:cs="Times New Roma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28DB">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35C1C">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BBAD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CE042">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75069">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3B573">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RjOWNlZmU2MDUwNDM3ZmE4MjI4NTVlZjVjYTlkM2EifQ=="/>
  </w:docVars>
  <w:rsids>
    <w:rsidRoot w:val="5602701E"/>
    <w:rsid w:val="000830FA"/>
    <w:rsid w:val="001436B3"/>
    <w:rsid w:val="001C267F"/>
    <w:rsid w:val="001E669B"/>
    <w:rsid w:val="00392BC6"/>
    <w:rsid w:val="004F0C25"/>
    <w:rsid w:val="00581FF0"/>
    <w:rsid w:val="008209DA"/>
    <w:rsid w:val="00957561"/>
    <w:rsid w:val="009B04CA"/>
    <w:rsid w:val="00A861E8"/>
    <w:rsid w:val="00C2545E"/>
    <w:rsid w:val="00E21DA0"/>
    <w:rsid w:val="00EF6964"/>
    <w:rsid w:val="00FA1828"/>
    <w:rsid w:val="00FF19F1"/>
    <w:rsid w:val="011D0213"/>
    <w:rsid w:val="157E5F01"/>
    <w:rsid w:val="19262A73"/>
    <w:rsid w:val="2012073C"/>
    <w:rsid w:val="29334032"/>
    <w:rsid w:val="33CC0F9E"/>
    <w:rsid w:val="342B44B3"/>
    <w:rsid w:val="3CC6321C"/>
    <w:rsid w:val="3FC82AB0"/>
    <w:rsid w:val="43587225"/>
    <w:rsid w:val="439E6736"/>
    <w:rsid w:val="44747161"/>
    <w:rsid w:val="4FC66B1A"/>
    <w:rsid w:val="5602701E"/>
    <w:rsid w:val="63757B06"/>
    <w:rsid w:val="73876D69"/>
    <w:rsid w:val="738F2274"/>
    <w:rsid w:val="7B402AA9"/>
    <w:rsid w:val="7D86481E"/>
    <w:rsid w:val="FF76D02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HTML Address"/>
    <w:qFormat/>
    <w:uiPriority w:val="0"/>
    <w:pPr>
      <w:widowControl w:val="0"/>
      <w:jc w:val="both"/>
    </w:pPr>
    <w:rPr>
      <w:rFonts w:ascii="Calibri" w:hAnsi="Calibri" w:eastAsia="宋体" w:cs="Arial"/>
      <w:i/>
      <w:iCs/>
      <w:kern w:val="2"/>
      <w:sz w:val="21"/>
      <w:szCs w:val="22"/>
      <w:lang w:val="en-US" w:eastAsia="zh-CN" w:bidi="ar-SA"/>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脚 Char"/>
    <w:basedOn w:val="7"/>
    <w:link w:val="3"/>
    <w:semiHidden/>
    <w:qFormat/>
    <w:locked/>
    <w:uiPriority w:val="99"/>
    <w:rPr>
      <w:sz w:val="18"/>
      <w:szCs w:val="18"/>
    </w:rPr>
  </w:style>
  <w:style w:type="character" w:customStyle="1" w:styleId="9">
    <w:name w:val="页眉 Char"/>
    <w:basedOn w:val="7"/>
    <w:link w:val="4"/>
    <w:semiHidden/>
    <w:qFormat/>
    <w:locked/>
    <w:uiPriority w:val="99"/>
    <w:rPr>
      <w:sz w:val="18"/>
      <w:szCs w:val="18"/>
    </w:rPr>
  </w:style>
  <w:style w:type="paragraph" w:customStyle="1" w:styleId="10">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czj</Company>
  <Pages>2</Pages>
  <Words>552</Words>
  <Characters>638</Characters>
  <Lines>6</Lines>
  <Paragraphs>1</Paragraphs>
  <TotalTime>7</TotalTime>
  <ScaleCrop>false</ScaleCrop>
  <LinksUpToDate>false</LinksUpToDate>
  <CharactersWithSpaces>639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2019-01-17T15:55:00Z</dcterms:created>
  <dc:creator>文静</dc:creator>
  <cp:lastModifiedBy>Administrator</cp:lastModifiedBy>
  <cp:lastPrinted>2019-01-18T11:42:00Z</cp:lastPrinted>
  <dcterms:modified xsi:type="dcterms:W3CDTF">2025-11-25T01:16:44Z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E965B699AD4143F0887C625BB9C96558</vt:lpwstr>
  </property>
  <property fmtid="{D5CDD505-2E9C-101B-9397-08002B2CF9AE}" pid="4" name="KSOTemplateDocerSaveRecord">
    <vt:lpwstr>eyJoZGlkIjoiNzJjNGZjNTQwY2FkNWI5ZTY4MzA3OTNmM2MyNzI2NWMifQ==</vt:lpwstr>
  </property>
</Properties>
</file>